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6FC14" w14:textId="3D21BF51" w:rsidR="003A78DA" w:rsidRDefault="003536D1" w:rsidP="00313B37">
      <w:pPr>
        <w:pStyle w:val="Heading1"/>
        <w:ind w:left="4680" w:firstLine="360"/>
      </w:pPr>
      <w:r w:rsidRPr="006D20F7">
        <w:rPr>
          <w:noProof/>
        </w:rPr>
        <mc:AlternateContent>
          <mc:Choice Requires="wps">
            <w:drawing>
              <wp:anchor distT="0" distB="0" distL="114300" distR="114300" simplePos="0" relativeHeight="251663360" behindDoc="0" locked="0" layoutInCell="1" allowOverlap="1" wp14:anchorId="1ACCA3ED" wp14:editId="06D8DE14">
                <wp:simplePos x="0" y="0"/>
                <wp:positionH relativeFrom="column">
                  <wp:posOffset>7038975</wp:posOffset>
                </wp:positionH>
                <wp:positionV relativeFrom="page">
                  <wp:posOffset>1266825</wp:posOffset>
                </wp:positionV>
                <wp:extent cx="4552950" cy="2946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455295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D5A3B6" w14:textId="1D03474D" w:rsidR="00F73F2F" w:rsidRPr="00F73F2F" w:rsidRDefault="00F73F2F" w:rsidP="00636539">
                            <w:pPr>
                              <w:tabs>
                                <w:tab w:val="left" w:pos="540"/>
                              </w:tabs>
                              <w:ind w:right="615"/>
                              <w:jc w:val="right"/>
                              <w:rPr>
                                <w:rFonts w:ascii="Franklin Gothic Book" w:hAnsi="Franklin Gothic Book"/>
                                <w:color w:val="21304B"/>
                                <w:sz w:val="18"/>
                                <w:szCs w:val="18"/>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ACCA3ED" id="_x0000_t202" coordsize="21600,21600" o:spt="202" path="m,l,21600r21600,l21600,xe">
                <v:stroke joinstyle="miter"/>
                <v:path gradientshapeok="t" o:connecttype="rect"/>
              </v:shapetype>
              <v:shape id="Text Box 8" o:spid="_x0000_s1026" type="#_x0000_t202" style="position:absolute;left:0;text-align:left;margin-left:554.25pt;margin-top:99.75pt;width:358.5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" filled="f" stroked="f">
                <v:textbox style="mso-fit-shape-to-text:t" inset="6e-5mm,0,0,0">
                  <w:txbxContent>
                    <w:p w14:paraId="4BD5A3B6" w14:textId="1D03474D" w:rsidR="00F73F2F" w:rsidRPr="00F73F2F" w:rsidRDefault="00F73F2F" w:rsidP="00636539">
                      <w:pPr>
                        <w:tabs>
                          <w:tab w:val="left" w:pos="540"/>
                        </w:tabs>
                        <w:ind w:right="615"/>
                        <w:jc w:val="right"/>
                        <w:rPr>
                          <w:rFonts w:ascii="Franklin Gothic Book" w:hAnsi="Franklin Gothic Book"/>
                          <w:color w:val="21304B"/>
                          <w:sz w:val="18"/>
                          <w:szCs w:val="18"/>
                        </w:rPr>
                      </w:pPr>
                    </w:p>
                  </w:txbxContent>
                </v:textbox>
                <w10:wrap type="square" anchory="page"/>
              </v:shape>
            </w:pict>
          </mc:Fallback>
        </mc:AlternateContent>
      </w:r>
      <w:r w:rsidR="006D20F7" w:rsidRPr="006D20F7">
        <w:t>Douglas Laycock</w:t>
      </w:r>
    </w:p>
    <w:p w14:paraId="52B55FE4" w14:textId="35293234" w:rsidR="006D20F7" w:rsidRPr="006D20F7" w:rsidRDefault="006D20F7" w:rsidP="006D20F7">
      <w:pPr>
        <w:tabs>
          <w:tab w:val="left" w:pos="720"/>
          <w:tab w:val="left" w:pos="810"/>
        </w:tabs>
        <w:jc w:val="right"/>
        <w:rPr>
          <w:rFonts w:ascii="Century Schoolbook" w:hAnsi="Century Schoolbook"/>
          <w:i/>
          <w:sz w:val="20"/>
          <w:szCs w:val="20"/>
        </w:rPr>
      </w:pPr>
      <w:r w:rsidRPr="006D20F7">
        <w:rPr>
          <w:rFonts w:ascii="Century Schoolbook" w:hAnsi="Century Schoolbook"/>
          <w:i/>
          <w:sz w:val="20"/>
          <w:szCs w:val="20"/>
        </w:rPr>
        <w:t>Robert E. Scott Distinguished Professor of Law</w:t>
      </w:r>
    </w:p>
    <w:p w14:paraId="2A37AE5F" w14:textId="73C795B2" w:rsidR="006D20F7" w:rsidRPr="006D20F7" w:rsidRDefault="006D20F7" w:rsidP="006D20F7">
      <w:pPr>
        <w:tabs>
          <w:tab w:val="left" w:pos="720"/>
          <w:tab w:val="left" w:pos="810"/>
        </w:tabs>
        <w:jc w:val="right"/>
        <w:rPr>
          <w:rFonts w:ascii="Century Schoolbook" w:hAnsi="Century Schoolbook"/>
          <w:i/>
          <w:sz w:val="20"/>
          <w:szCs w:val="20"/>
        </w:rPr>
      </w:pPr>
      <w:r w:rsidRPr="006D20F7">
        <w:rPr>
          <w:rFonts w:ascii="Century Schoolbook" w:hAnsi="Century Schoolbook"/>
          <w:i/>
          <w:sz w:val="20"/>
          <w:szCs w:val="20"/>
        </w:rPr>
        <w:t>Professor of Religious Studies</w:t>
      </w:r>
    </w:p>
    <w:p w14:paraId="0877B781" w14:textId="43BE3E78" w:rsidR="006D20F7" w:rsidRPr="006D20F7" w:rsidRDefault="006D20F7" w:rsidP="006D20F7">
      <w:pPr>
        <w:tabs>
          <w:tab w:val="left" w:pos="720"/>
          <w:tab w:val="left" w:pos="810"/>
        </w:tabs>
        <w:jc w:val="right"/>
        <w:rPr>
          <w:rFonts w:ascii="Century Schoolbook" w:hAnsi="Century Schoolbook"/>
          <w:i/>
          <w:sz w:val="20"/>
          <w:szCs w:val="20"/>
        </w:rPr>
      </w:pPr>
      <w:r w:rsidRPr="006D20F7">
        <w:rPr>
          <w:rFonts w:ascii="Century Schoolbook" w:hAnsi="Century Schoolbook"/>
          <w:i/>
          <w:sz w:val="20"/>
          <w:szCs w:val="20"/>
        </w:rPr>
        <w:t>Class of 1963 Research Professor in Honor of Graham C. Lilly and Peter W. Low</w:t>
      </w:r>
    </w:p>
    <w:p w14:paraId="4AC6B298" w14:textId="746F65D8" w:rsidR="006D20F7" w:rsidRPr="006D20F7" w:rsidRDefault="006D20F7" w:rsidP="006D20F7">
      <w:pPr>
        <w:tabs>
          <w:tab w:val="left" w:pos="720"/>
          <w:tab w:val="left" w:pos="810"/>
        </w:tabs>
        <w:jc w:val="right"/>
        <w:rPr>
          <w:rFonts w:ascii="Adobe Caslon Pro SmBd" w:hAnsi="Adobe Caslon Pro SmBd"/>
          <w:i/>
          <w:sz w:val="20"/>
          <w:szCs w:val="20"/>
        </w:rPr>
      </w:pPr>
      <w:r w:rsidRPr="006D20F7">
        <w:rPr>
          <w:rFonts w:ascii="Century Schoolbook" w:hAnsi="Century Schoolbook"/>
          <w:i/>
          <w:sz w:val="20"/>
          <w:szCs w:val="20"/>
        </w:rPr>
        <w:t>Alice McKean Young Regents Chair in Law Emeritus, University of Texas</w:t>
      </w:r>
    </w:p>
    <w:p w14:paraId="286D3059" w14:textId="3D82C11F" w:rsidR="001B58CF" w:rsidRDefault="001B58CF" w:rsidP="001B58CF"/>
    <w:p w14:paraId="5C8C01B1" w14:textId="77777777" w:rsidR="00C56804" w:rsidRDefault="00C56804" w:rsidP="00C56804">
      <w:pPr>
        <w:spacing w:line="252" w:lineRule="auto"/>
        <w:rPr>
          <w:rFonts w:ascii="Century Schoolbook" w:hAnsi="Century Schoolbook"/>
        </w:rPr>
      </w:pPr>
      <w:r>
        <w:rPr>
          <w:rFonts w:ascii="Century Schoolbook" w:hAnsi="Century Schoolbook"/>
        </w:rPr>
        <w:t>November 16, 2022</w:t>
      </w:r>
    </w:p>
    <w:p w14:paraId="0229DC17" w14:textId="77777777" w:rsidR="00C56804" w:rsidRDefault="00C56804" w:rsidP="00C56804">
      <w:pPr>
        <w:spacing w:line="252" w:lineRule="auto"/>
        <w:rPr>
          <w:rFonts w:ascii="Century Schoolbook" w:hAnsi="Century Schoolbook"/>
        </w:rPr>
      </w:pPr>
    </w:p>
    <w:p w14:paraId="1AED0A57" w14:textId="77777777" w:rsidR="00C56804" w:rsidRDefault="00C56804" w:rsidP="00C56804">
      <w:pPr>
        <w:spacing w:line="252" w:lineRule="auto"/>
        <w:rPr>
          <w:rFonts w:ascii="Century Schoolbook" w:hAnsi="Century Schoolbook"/>
        </w:rPr>
      </w:pPr>
      <w:r>
        <w:rPr>
          <w:rFonts w:ascii="Century Schoolbook" w:hAnsi="Century Schoolbook"/>
        </w:rPr>
        <w:t>Hon. Susan Collins</w:t>
      </w:r>
    </w:p>
    <w:p w14:paraId="12B276FD" w14:textId="77777777" w:rsidR="00C56804" w:rsidRDefault="00C56804" w:rsidP="00C56804">
      <w:pPr>
        <w:spacing w:line="252" w:lineRule="auto"/>
        <w:rPr>
          <w:rFonts w:ascii="Century Schoolbook" w:hAnsi="Century Schoolbook"/>
        </w:rPr>
      </w:pPr>
      <w:r>
        <w:rPr>
          <w:rFonts w:ascii="Century Schoolbook" w:hAnsi="Century Schoolbook"/>
        </w:rPr>
        <w:t>Hon. Tammy Baldwin</w:t>
      </w:r>
    </w:p>
    <w:p w14:paraId="638B880C" w14:textId="77777777" w:rsidR="00C56804" w:rsidRDefault="00C56804" w:rsidP="00C56804">
      <w:pPr>
        <w:spacing w:line="252" w:lineRule="auto"/>
        <w:rPr>
          <w:rFonts w:ascii="Century Schoolbook" w:hAnsi="Century Schoolbook"/>
        </w:rPr>
      </w:pPr>
      <w:r>
        <w:rPr>
          <w:rFonts w:ascii="Century Schoolbook" w:hAnsi="Century Schoolbook"/>
        </w:rPr>
        <w:t>United States Senate</w:t>
      </w:r>
    </w:p>
    <w:p w14:paraId="7AEF20C7" w14:textId="77777777" w:rsidR="00C56804" w:rsidRDefault="00C56804" w:rsidP="00C56804">
      <w:pPr>
        <w:spacing w:line="252" w:lineRule="auto"/>
        <w:rPr>
          <w:rFonts w:ascii="Century Schoolbook" w:hAnsi="Century Schoolbook"/>
        </w:rPr>
      </w:pPr>
    </w:p>
    <w:p w14:paraId="42C96C20" w14:textId="77777777" w:rsidR="00C56804" w:rsidRDefault="00C56804" w:rsidP="00C56804">
      <w:pPr>
        <w:spacing w:after="160"/>
        <w:jc w:val="both"/>
        <w:rPr>
          <w:rFonts w:ascii="Century Schoolbook" w:hAnsi="Century Schoolbook"/>
        </w:rPr>
      </w:pPr>
      <w:r>
        <w:rPr>
          <w:rFonts w:ascii="Century Schoolbook" w:hAnsi="Century Schoolbook"/>
        </w:rPr>
        <w:t>Dear Senators Collins and Baldwin:</w:t>
      </w:r>
    </w:p>
    <w:p w14:paraId="4445EEF4" w14:textId="77777777" w:rsidR="00C56804" w:rsidRDefault="00C56804" w:rsidP="00C56804">
      <w:pPr>
        <w:spacing w:after="160"/>
        <w:ind w:firstLine="360"/>
        <w:jc w:val="both"/>
        <w:rPr>
          <w:rFonts w:ascii="Century Schoolbook" w:hAnsi="Century Schoolbook"/>
          <w:color w:val="231F20"/>
          <w:w w:val="105"/>
        </w:rPr>
      </w:pPr>
      <w:r w:rsidRPr="00340658">
        <w:rPr>
          <w:rFonts w:ascii="Century Schoolbook" w:hAnsi="Century Schoolbook"/>
          <w:color w:val="231F20"/>
          <w:spacing w:val="-3"/>
          <w:w w:val="105"/>
        </w:rPr>
        <w:t xml:space="preserve">We </w:t>
      </w:r>
      <w:r w:rsidRPr="00340658">
        <w:rPr>
          <w:rFonts w:ascii="Century Schoolbook" w:hAnsi="Century Schoolbook"/>
          <w:color w:val="231F20"/>
          <w:w w:val="105"/>
        </w:rPr>
        <w:t>are constitutional law scholars who have studied, taught, and written about the law of religious liberty</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for</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decades.</w:t>
      </w:r>
      <w:r w:rsidRPr="00340658">
        <w:rPr>
          <w:rFonts w:ascii="Century Schoolbook" w:hAnsi="Century Schoolbook"/>
          <w:color w:val="231F20"/>
          <w:spacing w:val="-7"/>
          <w:w w:val="105"/>
        </w:rPr>
        <w:t xml:space="preserve"> </w:t>
      </w:r>
      <w:r w:rsidRPr="00340658">
        <w:rPr>
          <w:rFonts w:ascii="Century Schoolbook" w:hAnsi="Century Schoolbook"/>
          <w:color w:val="231F20"/>
          <w:spacing w:val="-3"/>
          <w:w w:val="105"/>
        </w:rPr>
        <w:t>All of us</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have persistently</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argued</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for</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religious</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liberty</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in</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legislatures</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and</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in</w:t>
      </w:r>
      <w:r w:rsidRPr="00340658">
        <w:rPr>
          <w:rFonts w:ascii="Century Schoolbook" w:hAnsi="Century Schoolbook"/>
          <w:color w:val="231F20"/>
          <w:spacing w:val="-7"/>
          <w:w w:val="105"/>
        </w:rPr>
        <w:t xml:space="preserve"> </w:t>
      </w:r>
      <w:r w:rsidRPr="00340658">
        <w:rPr>
          <w:rFonts w:ascii="Century Schoolbook" w:hAnsi="Century Schoolbook"/>
          <w:color w:val="231F20"/>
          <w:w w:val="105"/>
        </w:rPr>
        <w:t>the</w:t>
      </w:r>
      <w:r w:rsidRPr="00340658">
        <w:rPr>
          <w:rFonts w:ascii="Century Schoolbook" w:hAnsi="Century Schoolbook"/>
          <w:color w:val="231F20"/>
          <w:spacing w:val="-6"/>
          <w:w w:val="105"/>
        </w:rPr>
        <w:t xml:space="preserve"> </w:t>
      </w:r>
      <w:r w:rsidRPr="00340658">
        <w:rPr>
          <w:rFonts w:ascii="Century Schoolbook" w:hAnsi="Century Schoolbook"/>
          <w:color w:val="231F20"/>
          <w:w w:val="105"/>
        </w:rPr>
        <w:t>courts</w:t>
      </w:r>
      <w:r>
        <w:rPr>
          <w:rFonts w:ascii="Century Schoolbook" w:hAnsi="Century Schoolbook"/>
          <w:color w:val="231F20"/>
          <w:w w:val="105"/>
        </w:rPr>
        <w:t>, including liberty for believers and institutions with objections to facilitating same-sex marriages.</w:t>
      </w:r>
    </w:p>
    <w:p w14:paraId="49ECCCA0" w14:textId="0C34FE90" w:rsidR="00C56804" w:rsidRDefault="00C56804" w:rsidP="00C56804">
      <w:pPr>
        <w:spacing w:after="160"/>
        <w:ind w:firstLine="360"/>
        <w:jc w:val="both"/>
        <w:rPr>
          <w:rFonts w:ascii="Century Schoolbook" w:hAnsi="Century Schoolbook"/>
          <w:color w:val="231F20"/>
          <w:w w:val="105"/>
        </w:rPr>
      </w:pPr>
      <w:r>
        <w:rPr>
          <w:rFonts w:ascii="Century Schoolbook" w:hAnsi="Century Schoolbook"/>
          <w:color w:val="231F20"/>
          <w:w w:val="105"/>
        </w:rPr>
        <w:t>We believe that H.R. 8404, the Respect for Marriage Act (RMA</w:t>
      </w:r>
      <w:r w:rsidRPr="00B366E1">
        <w:rPr>
          <w:rFonts w:ascii="Century Schoolbook" w:hAnsi="Century Schoolbook"/>
          <w:color w:val="231F20"/>
          <w:w w:val="105"/>
        </w:rPr>
        <w:t>),</w:t>
      </w:r>
      <w:r w:rsidR="00B366E1" w:rsidRPr="00B366E1">
        <w:rPr>
          <w:rFonts w:ascii="Century Schoolbook" w:hAnsi="Century Schoolbook"/>
          <w:color w:val="231F20"/>
          <w:w w:val="105"/>
        </w:rPr>
        <w:t xml:space="preserve"> </w:t>
      </w:r>
      <w:r w:rsidR="00B366E1" w:rsidRPr="00B366E1">
        <w:rPr>
          <w:rFonts w:ascii="Century Schoolbook" w:hAnsi="Century Schoolbook" w:cs="Poppins"/>
          <w:color w:val="000000"/>
          <w:shd w:val="clear" w:color="auto" w:fill="FFFFFF"/>
        </w:rPr>
        <w:t>with the additional religious freedom protections you have proposed,</w:t>
      </w:r>
      <w:r w:rsidRPr="00B366E1">
        <w:rPr>
          <w:rFonts w:ascii="Century Schoolbook" w:hAnsi="Century Schoolbook"/>
          <w:color w:val="231F20"/>
          <w:w w:val="105"/>
        </w:rPr>
        <w:t xml:space="preserve"> is a good and important step for the liberty of believers to follow their traditional views of marriage. Its protections for religious liberty, while not compreh</w:t>
      </w:r>
      <w:r>
        <w:rPr>
          <w:rFonts w:ascii="Century Schoolbook" w:hAnsi="Century Schoolbook"/>
          <w:color w:val="231F20"/>
          <w:w w:val="105"/>
        </w:rPr>
        <w:t>ensive, are important, especially in the context in which RMA arises.</w:t>
      </w:r>
      <w:r>
        <w:rPr>
          <w:rStyle w:val="FootnoteReference"/>
          <w:rFonts w:ascii="Century Schoolbook" w:hAnsi="Century Schoolbook"/>
          <w:color w:val="231F20"/>
          <w:w w:val="105"/>
        </w:rPr>
        <w:footnoteReference w:id="1"/>
      </w:r>
    </w:p>
    <w:p w14:paraId="1C72E2A1" w14:textId="3BDBFBB1" w:rsidR="00C56804" w:rsidRPr="003D6B3E" w:rsidRDefault="00C56804" w:rsidP="00C56804">
      <w:pPr>
        <w:spacing w:after="160"/>
        <w:ind w:left="360"/>
        <w:jc w:val="both"/>
        <w:rPr>
          <w:rFonts w:ascii="Century Schoolbook" w:hAnsi="Century Schoolbook"/>
          <w:b/>
          <w:bCs/>
          <w:color w:val="231F20"/>
          <w:w w:val="105"/>
        </w:rPr>
      </w:pPr>
      <w:r w:rsidRPr="003D6B3E">
        <w:rPr>
          <w:rFonts w:ascii="Century Schoolbook" w:hAnsi="Century Schoolbook"/>
          <w:b/>
          <w:bCs/>
          <w:color w:val="231F20"/>
          <w:w w:val="105"/>
        </w:rPr>
        <w:t xml:space="preserve">A. The Religious Liberty Protections are </w:t>
      </w:r>
      <w:r>
        <w:rPr>
          <w:rFonts w:ascii="Century Schoolbook" w:hAnsi="Century Schoolbook"/>
          <w:b/>
          <w:bCs/>
          <w:color w:val="231F20"/>
          <w:w w:val="105"/>
        </w:rPr>
        <w:t>Important</w:t>
      </w:r>
      <w:r w:rsidRPr="003D6B3E">
        <w:rPr>
          <w:rFonts w:ascii="Century Schoolbook" w:hAnsi="Century Schoolbook"/>
          <w:b/>
          <w:bCs/>
          <w:color w:val="231F20"/>
          <w:w w:val="105"/>
        </w:rPr>
        <w:t>.</w:t>
      </w:r>
    </w:p>
    <w:p w14:paraId="7E6CFF6B" w14:textId="77777777" w:rsidR="00C56804" w:rsidRDefault="00C56804" w:rsidP="00C56804">
      <w:pPr>
        <w:spacing w:after="160"/>
        <w:ind w:firstLine="360"/>
        <w:jc w:val="both"/>
        <w:rPr>
          <w:rFonts w:ascii="Century Schoolbook" w:hAnsi="Century Schoolbook"/>
          <w:color w:val="231F20"/>
          <w:w w:val="105"/>
        </w:rPr>
      </w:pPr>
      <w:r>
        <w:rPr>
          <w:rFonts w:ascii="Century Schoolbook" w:hAnsi="Century Schoolbook"/>
          <w:color w:val="231F20"/>
          <w:w w:val="105"/>
        </w:rPr>
        <w:t>For several reasons, we believe the religious-liberty protections in RMA are meaningful and important even if not comprehensive.</w:t>
      </w:r>
    </w:p>
    <w:p w14:paraId="368FB045" w14:textId="77777777" w:rsidR="00C56804" w:rsidRDefault="00C56804" w:rsidP="00C56804">
      <w:pPr>
        <w:spacing w:after="160"/>
        <w:ind w:firstLine="360"/>
        <w:jc w:val="both"/>
        <w:rPr>
          <w:rFonts w:ascii="Century Schoolbook" w:hAnsi="Century Schoolbook"/>
          <w:color w:val="231F20"/>
          <w:w w:val="105"/>
        </w:rPr>
      </w:pPr>
      <w:r>
        <w:rPr>
          <w:rFonts w:ascii="Century Schoolbook" w:hAnsi="Century Schoolbook"/>
          <w:b/>
          <w:bCs/>
          <w:color w:val="231F20"/>
          <w:w w:val="105"/>
        </w:rPr>
        <w:t>1.</w:t>
      </w:r>
      <w:r>
        <w:rPr>
          <w:rFonts w:ascii="Century Schoolbook" w:hAnsi="Century Schoolbook"/>
          <w:color w:val="231F20"/>
          <w:w w:val="105"/>
        </w:rPr>
        <w:t xml:space="preserve"> First, </w:t>
      </w:r>
      <w:r w:rsidRPr="00D57053">
        <w:rPr>
          <w:rFonts w:ascii="Century Schoolbook" w:hAnsi="Century Schoolbook"/>
          <w:color w:val="231F20"/>
          <w:w w:val="105"/>
        </w:rPr>
        <w:t>RMA includes an explicit statement by Congress that “[d]</w:t>
      </w:r>
      <w:proofErr w:type="spellStart"/>
      <w:r w:rsidRPr="00D57053">
        <w:rPr>
          <w:rFonts w:ascii="Century Schoolbook" w:hAnsi="Century Schoolbook"/>
          <w:color w:val="231F20"/>
          <w:w w:val="105"/>
        </w:rPr>
        <w:t>iverse</w:t>
      </w:r>
      <w:proofErr w:type="spellEnd"/>
      <w:r w:rsidRPr="00D57053">
        <w:rPr>
          <w:rFonts w:ascii="Century Schoolbook" w:hAnsi="Century Schoolbook"/>
          <w:color w:val="231F20"/>
          <w:w w:val="105"/>
        </w:rPr>
        <w:t xml:space="preserve"> beliefs about the role of gender in marriage”—including the belief that marriage is between a man and woman rather than between persons of the same sex</w:t>
      </w:r>
      <w:proofErr w:type="gramStart"/>
      <w:r w:rsidRPr="00D57053">
        <w:rPr>
          <w:rFonts w:ascii="Century Schoolbook" w:hAnsi="Century Schoolbook"/>
          <w:color w:val="231F20"/>
          <w:w w:val="105"/>
        </w:rPr>
        <w:t>—“</w:t>
      </w:r>
      <w:proofErr w:type="gramEnd"/>
      <w:r w:rsidRPr="00D57053">
        <w:rPr>
          <w:rFonts w:ascii="Century Schoolbook" w:hAnsi="Century Schoolbook"/>
          <w:color w:val="231F20"/>
          <w:w w:val="105"/>
        </w:rPr>
        <w:t>are held by reasonable and sincere people based on decent and honorable philosophical premises” and that such beliefs “are due proper respect.”</w:t>
      </w:r>
      <w:r>
        <w:rPr>
          <w:rFonts w:ascii="Century Schoolbook" w:hAnsi="Century Schoolbook"/>
          <w:color w:val="231F20"/>
          <w:w w:val="105"/>
        </w:rPr>
        <w:t xml:space="preserve"> Section 2(2).</w:t>
      </w:r>
      <w:r w:rsidRPr="00D57053">
        <w:rPr>
          <w:rFonts w:ascii="Century Schoolbook" w:hAnsi="Century Schoolbook"/>
          <w:color w:val="231F20"/>
          <w:w w:val="105"/>
        </w:rPr>
        <w:t xml:space="preserve"> This statement </w:t>
      </w:r>
      <w:r>
        <w:rPr>
          <w:rFonts w:ascii="Century Schoolbook" w:hAnsi="Century Schoolbook"/>
          <w:color w:val="231F20"/>
          <w:w w:val="105"/>
        </w:rPr>
        <w:t xml:space="preserve">of respect for the belief in male-female marriage plainly distinguishes it from </w:t>
      </w:r>
      <w:r w:rsidRPr="00D57053">
        <w:rPr>
          <w:rFonts w:ascii="Century Schoolbook" w:hAnsi="Century Schoolbook"/>
          <w:color w:val="231F20"/>
          <w:w w:val="105"/>
        </w:rPr>
        <w:t xml:space="preserve">beliefs </w:t>
      </w:r>
      <w:r>
        <w:rPr>
          <w:rFonts w:ascii="Century Schoolbook" w:hAnsi="Century Schoolbook"/>
          <w:color w:val="231F20"/>
          <w:w w:val="105"/>
        </w:rPr>
        <w:t xml:space="preserve">opposing </w:t>
      </w:r>
      <w:r w:rsidRPr="00D57053">
        <w:rPr>
          <w:rFonts w:ascii="Century Schoolbook" w:hAnsi="Century Schoolbook"/>
          <w:color w:val="231F20"/>
          <w:w w:val="105"/>
        </w:rPr>
        <w:t>interracial marriage, which receive no such affirmatio</w:t>
      </w:r>
      <w:r>
        <w:rPr>
          <w:rFonts w:ascii="Century Schoolbook" w:hAnsi="Century Schoolbook"/>
          <w:color w:val="231F20"/>
          <w:w w:val="105"/>
        </w:rPr>
        <w:t xml:space="preserve">n (even as the statute protects interracial marriages). </w:t>
      </w:r>
    </w:p>
    <w:p w14:paraId="416A1F68" w14:textId="77777777" w:rsidR="00C56804" w:rsidRDefault="00C56804" w:rsidP="00C56804">
      <w:pPr>
        <w:spacing w:after="160"/>
        <w:ind w:firstLine="360"/>
        <w:jc w:val="both"/>
        <w:rPr>
          <w:rFonts w:ascii="Century Schoolbook" w:hAnsi="Century Schoolbook"/>
          <w:color w:val="231F20"/>
          <w:w w:val="105"/>
        </w:rPr>
      </w:pPr>
      <w:r>
        <w:rPr>
          <w:rFonts w:ascii="Century Schoolbook" w:hAnsi="Century Schoolbook"/>
          <w:color w:val="231F20"/>
          <w:w w:val="105"/>
        </w:rPr>
        <w:t>T</w:t>
      </w:r>
      <w:r w:rsidRPr="00D57053">
        <w:rPr>
          <w:rFonts w:ascii="Century Schoolbook" w:hAnsi="Century Schoolbook"/>
          <w:color w:val="231F20"/>
          <w:w w:val="105"/>
        </w:rPr>
        <w:t xml:space="preserve">he distinction is </w:t>
      </w:r>
      <w:r>
        <w:rPr>
          <w:rFonts w:ascii="Century Schoolbook" w:hAnsi="Century Schoolbook"/>
          <w:color w:val="231F20"/>
          <w:w w:val="105"/>
        </w:rPr>
        <w:t xml:space="preserve">important </w:t>
      </w:r>
      <w:r w:rsidRPr="00D57053">
        <w:rPr>
          <w:rFonts w:ascii="Century Schoolbook" w:hAnsi="Century Schoolbook"/>
          <w:color w:val="231F20"/>
          <w:w w:val="105"/>
        </w:rPr>
        <w:t xml:space="preserve">for religious-freedom claims. The Supreme Court in </w:t>
      </w:r>
      <w:r w:rsidRPr="00D57053">
        <w:rPr>
          <w:rFonts w:ascii="Century Schoolbook" w:hAnsi="Century Schoolbook"/>
          <w:i/>
          <w:iCs/>
          <w:color w:val="231F20"/>
          <w:w w:val="105"/>
        </w:rPr>
        <w:t>Bob Jones University v. United States</w:t>
      </w:r>
      <w:r w:rsidRPr="00D57053">
        <w:rPr>
          <w:rFonts w:ascii="Century Schoolbook" w:hAnsi="Century Schoolbook"/>
          <w:color w:val="231F20"/>
          <w:w w:val="105"/>
        </w:rPr>
        <w:t xml:space="preserve">, 461 U.S. 574 (1983), upheld stripping tax exemptions from racially discriminatory private schools, including religious schools, on the basis of the “firm and unyielding” national policy against racial </w:t>
      </w:r>
      <w:r w:rsidRPr="00D57053">
        <w:rPr>
          <w:rFonts w:ascii="Century Schoolbook" w:hAnsi="Century Schoolbook"/>
          <w:color w:val="231F20"/>
          <w:w w:val="105"/>
        </w:rPr>
        <w:lastRenderedPageBreak/>
        <w:t>discrimination</w:t>
      </w:r>
      <w:r>
        <w:rPr>
          <w:rFonts w:ascii="Century Schoolbook" w:hAnsi="Century Schoolbook"/>
          <w:color w:val="231F20"/>
          <w:w w:val="105"/>
        </w:rPr>
        <w:t>. O</w:t>
      </w:r>
      <w:r w:rsidRPr="00D57053">
        <w:rPr>
          <w:rFonts w:ascii="Century Schoolbook" w:hAnsi="Century Schoolbook"/>
          <w:color w:val="231F20"/>
          <w:w w:val="105"/>
        </w:rPr>
        <w:t>pponents of traditional beliefs about marriage regularly analogize those beliefs to racist beliefs for the purpose of resisting religious</w:t>
      </w:r>
      <w:r>
        <w:rPr>
          <w:rFonts w:ascii="Century Schoolbook" w:hAnsi="Century Schoolbook"/>
          <w:color w:val="231F20"/>
          <w:w w:val="105"/>
        </w:rPr>
        <w:t xml:space="preserve"> </w:t>
      </w:r>
      <w:r w:rsidRPr="00D57053">
        <w:rPr>
          <w:rFonts w:ascii="Century Schoolbook" w:hAnsi="Century Schoolbook"/>
          <w:color w:val="231F20"/>
          <w:w w:val="105"/>
        </w:rPr>
        <w:t xml:space="preserve">freedom claims by traditional believers and institutions. </w:t>
      </w:r>
    </w:p>
    <w:p w14:paraId="1F43B88B" w14:textId="77777777" w:rsidR="00C56804" w:rsidRDefault="00C56804" w:rsidP="00C56804">
      <w:pPr>
        <w:spacing w:after="160"/>
        <w:ind w:firstLine="360"/>
        <w:jc w:val="both"/>
        <w:rPr>
          <w:rFonts w:ascii="Century Schoolbook" w:hAnsi="Century Schoolbook"/>
          <w:color w:val="231F20"/>
          <w:w w:val="105"/>
        </w:rPr>
      </w:pPr>
      <w:r w:rsidRPr="00D57053">
        <w:rPr>
          <w:rFonts w:ascii="Century Schoolbook" w:hAnsi="Century Schoolbook"/>
          <w:color w:val="231F20"/>
          <w:w w:val="105"/>
        </w:rPr>
        <w:t xml:space="preserve">Explicit congressional affirmation that the </w:t>
      </w:r>
      <w:r>
        <w:rPr>
          <w:rFonts w:ascii="Century Schoolbook" w:hAnsi="Century Schoolbook"/>
          <w:color w:val="231F20"/>
          <w:w w:val="105"/>
        </w:rPr>
        <w:t xml:space="preserve">traditional male-female definition </w:t>
      </w:r>
      <w:r w:rsidRPr="00D57053">
        <w:rPr>
          <w:rFonts w:ascii="Century Schoolbook" w:hAnsi="Century Schoolbook"/>
          <w:color w:val="231F20"/>
          <w:w w:val="105"/>
        </w:rPr>
        <w:t xml:space="preserve">of marriage is “reasonable” and “honorable” would counter the analogy to racism and weaken </w:t>
      </w:r>
      <w:r>
        <w:rPr>
          <w:rFonts w:ascii="Century Schoolbook" w:hAnsi="Century Schoolbook"/>
          <w:color w:val="231F20"/>
          <w:w w:val="105"/>
        </w:rPr>
        <w:t xml:space="preserve">the ground for relying </w:t>
      </w:r>
      <w:r w:rsidRPr="00D57053">
        <w:rPr>
          <w:rFonts w:ascii="Century Schoolbook" w:hAnsi="Century Schoolbook"/>
          <w:color w:val="231F20"/>
          <w:w w:val="105"/>
        </w:rPr>
        <w:t xml:space="preserve">on </w:t>
      </w:r>
      <w:r w:rsidRPr="00D57053">
        <w:rPr>
          <w:rFonts w:ascii="Century Schoolbook" w:hAnsi="Century Schoolbook"/>
          <w:i/>
          <w:iCs/>
          <w:color w:val="231F20"/>
          <w:w w:val="105"/>
        </w:rPr>
        <w:t>Bob Jones</w:t>
      </w:r>
      <w:r w:rsidRPr="00D57053">
        <w:rPr>
          <w:rFonts w:ascii="Century Schoolbook" w:hAnsi="Century Schoolbook"/>
          <w:color w:val="231F20"/>
          <w:w w:val="105"/>
        </w:rPr>
        <w:t xml:space="preserve"> to justify rejecting </w:t>
      </w:r>
      <w:r>
        <w:rPr>
          <w:rFonts w:ascii="Century Schoolbook" w:hAnsi="Century Schoolbook"/>
          <w:color w:val="231F20"/>
          <w:w w:val="105"/>
        </w:rPr>
        <w:t xml:space="preserve">traditionalist </w:t>
      </w:r>
      <w:r w:rsidRPr="00D57053">
        <w:rPr>
          <w:rFonts w:ascii="Century Schoolbook" w:hAnsi="Century Schoolbook"/>
          <w:color w:val="231F20"/>
          <w:w w:val="105"/>
        </w:rPr>
        <w:t xml:space="preserve">believers’ religious-freedom claims. </w:t>
      </w:r>
      <w:r w:rsidRPr="00D57053">
        <w:rPr>
          <w:rFonts w:ascii="Century Schoolbook" w:hAnsi="Century Schoolbook"/>
          <w:i/>
          <w:iCs/>
          <w:color w:val="231F20"/>
          <w:w w:val="105"/>
        </w:rPr>
        <w:t>Obergefell</w:t>
      </w:r>
      <w:r>
        <w:rPr>
          <w:rFonts w:ascii="Century Schoolbook" w:hAnsi="Century Schoolbook"/>
          <w:i/>
          <w:iCs/>
          <w:color w:val="231F20"/>
          <w:w w:val="105"/>
        </w:rPr>
        <w:t xml:space="preserve"> v. Hodges</w:t>
      </w:r>
      <w:r w:rsidRPr="00D57053">
        <w:rPr>
          <w:rFonts w:ascii="Century Schoolbook" w:hAnsi="Century Schoolbook"/>
          <w:color w:val="231F20"/>
          <w:w w:val="105"/>
        </w:rPr>
        <w:t xml:space="preserve"> included a similar statement of respect for traditional views, but it was </w:t>
      </w:r>
      <w:r>
        <w:rPr>
          <w:rFonts w:ascii="Century Schoolbook" w:hAnsi="Century Schoolbook"/>
          <w:color w:val="231F20"/>
          <w:w w:val="105"/>
        </w:rPr>
        <w:t>dictum,</w:t>
      </w:r>
      <w:r w:rsidRPr="00D57053">
        <w:rPr>
          <w:rFonts w:ascii="Century Schoolbook" w:hAnsi="Century Schoolbook"/>
          <w:color w:val="231F20"/>
          <w:w w:val="105"/>
        </w:rPr>
        <w:t xml:space="preserve"> and some commentators have questioned the Court’s power to declare it. A congressional statement would be a legitimate, and powerful, statement of national policy</w:t>
      </w:r>
      <w:r>
        <w:rPr>
          <w:rFonts w:ascii="Century Schoolbook" w:hAnsi="Century Schoolbook"/>
          <w:color w:val="231F20"/>
          <w:w w:val="105"/>
        </w:rPr>
        <w:t xml:space="preserve">—one favoring respect for (among other things) religious organizations that adhere to traditional views of marriage. </w:t>
      </w:r>
    </w:p>
    <w:p w14:paraId="040B6539" w14:textId="77777777" w:rsidR="00C56804" w:rsidRDefault="00C56804" w:rsidP="00C56804">
      <w:pPr>
        <w:spacing w:after="160"/>
        <w:ind w:firstLine="360"/>
        <w:jc w:val="both"/>
        <w:rPr>
          <w:rFonts w:ascii="Century Schoolbook" w:hAnsi="Century Schoolbook"/>
          <w:color w:val="231F20"/>
          <w:w w:val="105"/>
        </w:rPr>
      </w:pPr>
      <w:r w:rsidRPr="008E4420">
        <w:rPr>
          <w:rFonts w:ascii="Century Schoolbook" w:hAnsi="Century Schoolbook"/>
          <w:b/>
          <w:bCs/>
          <w:color w:val="231F20"/>
          <w:w w:val="105"/>
        </w:rPr>
        <w:t>2.</w:t>
      </w:r>
      <w:r>
        <w:rPr>
          <w:rFonts w:ascii="Century Schoolbook" w:hAnsi="Century Schoolbook"/>
          <w:color w:val="231F20"/>
          <w:w w:val="105"/>
        </w:rPr>
        <w:t xml:space="preserve"> </w:t>
      </w:r>
      <w:r w:rsidRPr="00113217">
        <w:rPr>
          <w:rFonts w:ascii="Century Schoolbook" w:hAnsi="Century Schoolbook"/>
          <w:color w:val="231F20"/>
          <w:w w:val="105"/>
        </w:rPr>
        <w:t xml:space="preserve">RMA includes specific protections for religious liberty. Most notable is </w:t>
      </w:r>
      <w:r>
        <w:rPr>
          <w:rFonts w:ascii="Century Schoolbook" w:hAnsi="Century Schoolbook"/>
          <w:color w:val="231F20"/>
          <w:w w:val="105"/>
        </w:rPr>
        <w:t>the</w:t>
      </w:r>
      <w:r w:rsidRPr="00113217">
        <w:rPr>
          <w:rFonts w:ascii="Century Schoolbook" w:hAnsi="Century Schoolbook"/>
          <w:color w:val="231F20"/>
          <w:w w:val="105"/>
        </w:rPr>
        <w:t xml:space="preserve"> categorical exemption for </w:t>
      </w:r>
      <w:r>
        <w:rPr>
          <w:rFonts w:ascii="Century Schoolbook" w:hAnsi="Century Schoolbook"/>
          <w:color w:val="231F20"/>
          <w:w w:val="105"/>
        </w:rPr>
        <w:t>“</w:t>
      </w:r>
      <w:r w:rsidRPr="00113217">
        <w:rPr>
          <w:rFonts w:ascii="Century Schoolbook" w:hAnsi="Century Schoolbook"/>
          <w:color w:val="231F20"/>
          <w:w w:val="105"/>
        </w:rPr>
        <w:t xml:space="preserve">nonprofit </w:t>
      </w:r>
      <w:r>
        <w:rPr>
          <w:rFonts w:ascii="Century Schoolbook" w:hAnsi="Century Schoolbook"/>
          <w:color w:val="231F20"/>
          <w:w w:val="105"/>
        </w:rPr>
        <w:t xml:space="preserve">religious </w:t>
      </w:r>
      <w:r w:rsidRPr="00113217">
        <w:rPr>
          <w:rFonts w:ascii="Century Schoolbook" w:hAnsi="Century Schoolbook"/>
          <w:color w:val="231F20"/>
          <w:w w:val="105"/>
        </w:rPr>
        <w:t>organizations</w:t>
      </w:r>
      <w:r>
        <w:rPr>
          <w:rFonts w:ascii="Century Schoolbook" w:hAnsi="Century Schoolbook"/>
          <w:color w:val="231F20"/>
          <w:w w:val="105"/>
        </w:rPr>
        <w:t>”</w:t>
      </w:r>
      <w:r w:rsidRPr="00113217">
        <w:rPr>
          <w:rFonts w:ascii="Century Schoolbook" w:hAnsi="Century Schoolbook"/>
          <w:color w:val="231F20"/>
          <w:w w:val="105"/>
        </w:rPr>
        <w:t>—comprehensively defined to include “social agencies” and “educational organizations</w:t>
      </w:r>
      <w:r>
        <w:rPr>
          <w:rFonts w:ascii="Century Schoolbook" w:hAnsi="Century Schoolbook"/>
          <w:color w:val="231F20"/>
          <w:w w:val="105"/>
        </w:rPr>
        <w:t>,</w:t>
      </w:r>
      <w:r w:rsidRPr="00113217">
        <w:rPr>
          <w:rFonts w:ascii="Century Schoolbook" w:hAnsi="Century Schoolbook"/>
          <w:color w:val="231F20"/>
          <w:w w:val="105"/>
        </w:rPr>
        <w:t xml:space="preserve">” </w:t>
      </w:r>
      <w:r>
        <w:rPr>
          <w:rFonts w:ascii="Century Schoolbook" w:hAnsi="Century Schoolbook"/>
          <w:color w:val="231F20"/>
          <w:w w:val="105"/>
        </w:rPr>
        <w:t xml:space="preserve">and “nondenominational” and “interdenominational” organizations </w:t>
      </w:r>
      <w:r w:rsidRPr="00113217">
        <w:rPr>
          <w:rFonts w:ascii="Century Schoolbook" w:hAnsi="Century Schoolbook"/>
          <w:color w:val="231F20"/>
          <w:w w:val="105"/>
        </w:rPr>
        <w:t>as well as houses of worship—</w:t>
      </w:r>
      <w:r>
        <w:rPr>
          <w:rFonts w:ascii="Century Schoolbook" w:hAnsi="Century Schoolbook"/>
          <w:color w:val="231F20"/>
          <w:w w:val="105"/>
        </w:rPr>
        <w:t xml:space="preserve">from </w:t>
      </w:r>
      <w:r w:rsidRPr="00113217">
        <w:rPr>
          <w:rFonts w:ascii="Century Schoolbook" w:hAnsi="Century Schoolbook"/>
          <w:color w:val="231F20"/>
          <w:w w:val="105"/>
        </w:rPr>
        <w:t xml:space="preserve">having to provide “services, accommodations, advantages, facilities, goods, or privileges for the solemnization or celebration of a marriage.” </w:t>
      </w:r>
      <w:r>
        <w:rPr>
          <w:rFonts w:ascii="Century Schoolbook" w:hAnsi="Century Schoolbook"/>
          <w:color w:val="231F20"/>
          <w:w w:val="105"/>
        </w:rPr>
        <w:t>Section 6(b).</w:t>
      </w:r>
      <w:r>
        <w:rPr>
          <w:rStyle w:val="FootnoteReference"/>
          <w:rFonts w:ascii="Century Schoolbook" w:hAnsi="Century Schoolbook"/>
          <w:color w:val="231F20"/>
          <w:w w:val="105"/>
        </w:rPr>
        <w:footnoteReference w:id="2"/>
      </w:r>
      <w:r>
        <w:rPr>
          <w:rFonts w:ascii="Century Schoolbook" w:hAnsi="Century Schoolbook"/>
          <w:color w:val="231F20"/>
          <w:w w:val="105"/>
        </w:rPr>
        <w:t xml:space="preserve"> </w:t>
      </w:r>
      <w:r w:rsidRPr="00113217">
        <w:rPr>
          <w:rFonts w:ascii="Century Schoolbook" w:hAnsi="Century Schoolbook"/>
          <w:color w:val="231F20"/>
          <w:w w:val="105"/>
        </w:rPr>
        <w:t>The provision</w:t>
      </w:r>
      <w:r>
        <w:rPr>
          <w:rFonts w:ascii="Century Schoolbook" w:hAnsi="Century Schoolbook"/>
          <w:color w:val="231F20"/>
          <w:w w:val="105"/>
        </w:rPr>
        <w:t xml:space="preserve">, although not a comprehensive protection for acts by religious nonprofits, guarantees that they can </w:t>
      </w:r>
      <w:r w:rsidRPr="00113217">
        <w:rPr>
          <w:rFonts w:ascii="Century Schoolbook" w:hAnsi="Century Schoolbook"/>
          <w:color w:val="231F20"/>
          <w:w w:val="105"/>
        </w:rPr>
        <w:t xml:space="preserve">refuse to participate in the </w:t>
      </w:r>
      <w:r>
        <w:rPr>
          <w:rFonts w:ascii="Century Schoolbook" w:hAnsi="Century Schoolbook"/>
          <w:color w:val="231F20"/>
          <w:w w:val="105"/>
        </w:rPr>
        <w:t xml:space="preserve">category of </w:t>
      </w:r>
      <w:r w:rsidRPr="00113217">
        <w:rPr>
          <w:rFonts w:ascii="Century Schoolbook" w:hAnsi="Century Schoolbook"/>
          <w:color w:val="231F20"/>
          <w:w w:val="105"/>
        </w:rPr>
        <w:t xml:space="preserve">activities </w:t>
      </w:r>
      <w:r>
        <w:rPr>
          <w:rFonts w:ascii="Century Schoolbook" w:hAnsi="Century Schoolbook"/>
          <w:color w:val="231F20"/>
          <w:w w:val="105"/>
        </w:rPr>
        <w:t xml:space="preserve">most relevant </w:t>
      </w:r>
      <w:r w:rsidRPr="00113217">
        <w:rPr>
          <w:rFonts w:ascii="Century Schoolbook" w:hAnsi="Century Schoolbook"/>
          <w:color w:val="231F20"/>
          <w:w w:val="105"/>
        </w:rPr>
        <w:t>t</w:t>
      </w:r>
      <w:r>
        <w:rPr>
          <w:rFonts w:ascii="Century Schoolbook" w:hAnsi="Century Schoolbook"/>
          <w:color w:val="231F20"/>
          <w:w w:val="105"/>
        </w:rPr>
        <w:t xml:space="preserve">o </w:t>
      </w:r>
      <w:r w:rsidRPr="00113217">
        <w:rPr>
          <w:rFonts w:ascii="Century Schoolbook" w:hAnsi="Century Schoolbook"/>
          <w:color w:val="231F20"/>
          <w:w w:val="105"/>
        </w:rPr>
        <w:t>RMA</w:t>
      </w:r>
      <w:r>
        <w:rPr>
          <w:rFonts w:ascii="Century Schoolbook" w:hAnsi="Century Schoolbook"/>
          <w:color w:val="231F20"/>
          <w:w w:val="105"/>
        </w:rPr>
        <w:t xml:space="preserve">’s coverage: </w:t>
      </w:r>
      <w:r w:rsidRPr="00113217">
        <w:rPr>
          <w:rFonts w:ascii="Century Schoolbook" w:hAnsi="Century Schoolbook"/>
          <w:color w:val="231F20"/>
          <w:w w:val="105"/>
        </w:rPr>
        <w:t xml:space="preserve">“solemnization or celebration of a marriage.” </w:t>
      </w:r>
      <w:r>
        <w:rPr>
          <w:rFonts w:ascii="Century Schoolbook" w:hAnsi="Century Schoolbook"/>
          <w:color w:val="231F20"/>
          <w:w w:val="105"/>
        </w:rPr>
        <w:t xml:space="preserve">The provision </w:t>
      </w:r>
      <w:r w:rsidRPr="00113217">
        <w:rPr>
          <w:rFonts w:ascii="Century Schoolbook" w:hAnsi="Century Schoolbook"/>
          <w:color w:val="231F20"/>
          <w:w w:val="105"/>
        </w:rPr>
        <w:t>bars “any civil claim or cause of action” based on such a refusal</w:t>
      </w:r>
      <w:r>
        <w:rPr>
          <w:rFonts w:ascii="Century Schoolbook" w:hAnsi="Century Schoolbook"/>
          <w:color w:val="231F20"/>
          <w:w w:val="105"/>
        </w:rPr>
        <w:t xml:space="preserve">: it sets no </w:t>
      </w:r>
      <w:r w:rsidRPr="00113217">
        <w:rPr>
          <w:rFonts w:ascii="Century Schoolbook" w:hAnsi="Century Schoolbook"/>
          <w:color w:val="231F20"/>
          <w:w w:val="105"/>
        </w:rPr>
        <w:t>limitation on the nature or source of the claim or cause of action</w:t>
      </w:r>
      <w:r>
        <w:rPr>
          <w:rFonts w:ascii="Century Schoolbook" w:hAnsi="Century Schoolbook"/>
          <w:color w:val="231F20"/>
          <w:w w:val="105"/>
        </w:rPr>
        <w:t xml:space="preserve"> barred</w:t>
      </w:r>
      <w:r w:rsidRPr="00113217">
        <w:rPr>
          <w:rFonts w:ascii="Century Schoolbook" w:hAnsi="Century Schoolbook"/>
          <w:color w:val="231F20"/>
          <w:w w:val="105"/>
        </w:rPr>
        <w:t xml:space="preserve">. Although courts might provide such protection under the First Amendment, this provision makes the right more secure and avoids lengthy constitutional litigation. The protection is categorical; </w:t>
      </w:r>
      <w:r>
        <w:rPr>
          <w:rFonts w:ascii="Century Schoolbook" w:hAnsi="Century Schoolbook"/>
          <w:color w:val="231F20"/>
          <w:w w:val="105"/>
        </w:rPr>
        <w:t xml:space="preserve">unlike a claim of constitutional right, </w:t>
      </w:r>
      <w:r w:rsidRPr="00113217">
        <w:rPr>
          <w:rFonts w:ascii="Century Schoolbook" w:hAnsi="Century Schoolbook"/>
          <w:color w:val="231F20"/>
          <w:w w:val="105"/>
        </w:rPr>
        <w:t>it cannot be overridden by a judicial finding of a “compelling governmental interest.”</w:t>
      </w:r>
    </w:p>
    <w:p w14:paraId="4436DC13" w14:textId="77777777" w:rsidR="00C56804" w:rsidRPr="00113217" w:rsidRDefault="00C56804" w:rsidP="00C56804">
      <w:pPr>
        <w:spacing w:after="160"/>
        <w:ind w:firstLine="360"/>
        <w:jc w:val="both"/>
        <w:rPr>
          <w:rFonts w:ascii="Century Schoolbook" w:hAnsi="Century Schoolbook"/>
          <w:color w:val="231F20"/>
          <w:w w:val="105"/>
        </w:rPr>
      </w:pPr>
      <w:r>
        <w:rPr>
          <w:rFonts w:ascii="Century Schoolbook" w:hAnsi="Century Schoolbook"/>
          <w:color w:val="000000"/>
        </w:rPr>
        <w:t xml:space="preserve">RMA also explicitly provides that it does not “deny or alter” any tax exemption, funding, license, accreditation, or “any benefit, status, or right of an otherwise eligible entity or person”—including, plainly, of a religious organization. Section 7(a). Those who claim that the bill would be used as a ground for denying tax-exempt status to organizations adhering to male-female marriage, by analogy to </w:t>
      </w:r>
      <w:r>
        <w:rPr>
          <w:rFonts w:ascii="Century Schoolbook" w:hAnsi="Century Schoolbook"/>
          <w:i/>
          <w:iCs/>
          <w:color w:val="000000"/>
        </w:rPr>
        <w:t>Bob Jones</w:t>
      </w:r>
      <w:r>
        <w:rPr>
          <w:rFonts w:ascii="Century Schoolbook" w:hAnsi="Century Schoolbook"/>
          <w:color w:val="000000"/>
        </w:rPr>
        <w:t>, are disregarding the statutory text.</w:t>
      </w:r>
    </w:p>
    <w:p w14:paraId="07A5B0BA" w14:textId="77777777" w:rsidR="00C56804" w:rsidRDefault="00C56804" w:rsidP="00C56804">
      <w:pPr>
        <w:spacing w:after="160"/>
        <w:ind w:firstLine="360"/>
        <w:jc w:val="both"/>
        <w:rPr>
          <w:rFonts w:ascii="Century Schoolbook" w:hAnsi="Century Schoolbook"/>
          <w:color w:val="231F20"/>
          <w:w w:val="105"/>
        </w:rPr>
      </w:pPr>
      <w:r w:rsidRPr="008E4420">
        <w:rPr>
          <w:rFonts w:ascii="Century Schoolbook" w:hAnsi="Century Schoolbook"/>
          <w:b/>
          <w:bCs/>
          <w:color w:val="231F20"/>
          <w:w w:val="105"/>
        </w:rPr>
        <w:t>3.</w:t>
      </w:r>
      <w:r w:rsidRPr="00712481">
        <w:rPr>
          <w:rFonts w:ascii="Century Schoolbook" w:hAnsi="Century Schoolbook"/>
          <w:color w:val="231F20"/>
          <w:w w:val="105"/>
        </w:rPr>
        <w:t xml:space="preserve"> </w:t>
      </w:r>
      <w:r>
        <w:rPr>
          <w:rFonts w:ascii="Century Schoolbook" w:hAnsi="Century Schoolbook"/>
          <w:color w:val="231F20"/>
          <w:w w:val="105"/>
        </w:rPr>
        <w:t xml:space="preserve">Finally, </w:t>
      </w:r>
      <w:r w:rsidRPr="00712481">
        <w:rPr>
          <w:rFonts w:ascii="Century Schoolbook" w:hAnsi="Century Schoolbook"/>
          <w:color w:val="231F20"/>
          <w:w w:val="105"/>
        </w:rPr>
        <w:t xml:space="preserve">RMA both reflects and teaches that </w:t>
      </w:r>
      <w:r>
        <w:rPr>
          <w:rFonts w:ascii="Century Schoolbook" w:hAnsi="Century Schoolbook"/>
          <w:color w:val="231F20"/>
          <w:w w:val="105"/>
        </w:rPr>
        <w:t xml:space="preserve">if proponents </w:t>
      </w:r>
      <w:r w:rsidRPr="00712481">
        <w:rPr>
          <w:rFonts w:ascii="Century Schoolbook" w:hAnsi="Century Schoolbook"/>
          <w:color w:val="231F20"/>
          <w:w w:val="105"/>
        </w:rPr>
        <w:t>of LGBTQ rights</w:t>
      </w:r>
      <w:r>
        <w:rPr>
          <w:rFonts w:ascii="Century Schoolbook" w:hAnsi="Century Schoolbook"/>
          <w:color w:val="231F20"/>
          <w:w w:val="105"/>
        </w:rPr>
        <w:t xml:space="preserve"> want any advances or legislative protections for those rights, they must </w:t>
      </w:r>
      <w:r w:rsidRPr="00712481">
        <w:rPr>
          <w:rFonts w:ascii="Century Schoolbook" w:hAnsi="Century Schoolbook"/>
          <w:color w:val="231F20"/>
          <w:w w:val="105"/>
        </w:rPr>
        <w:t xml:space="preserve">attend also to </w:t>
      </w:r>
      <w:r>
        <w:rPr>
          <w:rFonts w:ascii="Century Schoolbook" w:hAnsi="Century Schoolbook"/>
          <w:color w:val="231F20"/>
          <w:w w:val="105"/>
        </w:rPr>
        <w:t xml:space="preserve">corresponding </w:t>
      </w:r>
      <w:r w:rsidRPr="00712481">
        <w:rPr>
          <w:rFonts w:ascii="Century Schoolbook" w:hAnsi="Century Schoolbook"/>
          <w:color w:val="231F20"/>
          <w:w w:val="105"/>
        </w:rPr>
        <w:t xml:space="preserve">religious-liberty concerns. LGBTQ-rights proponents have failed to secure their goals in Congress through the Equality Act, or in </w:t>
      </w:r>
      <w:r>
        <w:rPr>
          <w:rFonts w:ascii="Century Schoolbook" w:hAnsi="Century Schoolbook"/>
          <w:color w:val="231F20"/>
          <w:w w:val="105"/>
        </w:rPr>
        <w:t xml:space="preserve">many </w:t>
      </w:r>
      <w:r w:rsidRPr="00712481">
        <w:rPr>
          <w:rFonts w:ascii="Century Schoolbook" w:hAnsi="Century Schoolbook"/>
          <w:color w:val="231F20"/>
          <w:w w:val="105"/>
        </w:rPr>
        <w:t>state legislatures</w:t>
      </w:r>
      <w:r>
        <w:rPr>
          <w:rFonts w:ascii="Century Schoolbook" w:hAnsi="Century Schoolbook"/>
          <w:color w:val="231F20"/>
          <w:w w:val="105"/>
        </w:rPr>
        <w:t>,</w:t>
      </w:r>
      <w:r w:rsidRPr="00712481">
        <w:rPr>
          <w:rFonts w:ascii="Century Schoolbook" w:hAnsi="Century Schoolbook"/>
          <w:color w:val="231F20"/>
          <w:w w:val="105"/>
        </w:rPr>
        <w:t xml:space="preserve"> because they have been unwilling to make provision for religious liberty.</w:t>
      </w:r>
      <w:r>
        <w:rPr>
          <w:rFonts w:ascii="Century Schoolbook" w:hAnsi="Century Schoolbook"/>
          <w:color w:val="231F20"/>
          <w:w w:val="105"/>
        </w:rPr>
        <w:t xml:space="preserve"> </w:t>
      </w:r>
      <w:r w:rsidRPr="00712481">
        <w:rPr>
          <w:rFonts w:ascii="Century Schoolbook" w:hAnsi="Century Schoolbook"/>
          <w:color w:val="231F20"/>
          <w:w w:val="105"/>
        </w:rPr>
        <w:t xml:space="preserve">The lesson applies to conservatives as well. Efforts like the First Amendment Defense Act (FADA) have likewise failed repeatedly because they </w:t>
      </w:r>
      <w:r>
        <w:rPr>
          <w:rFonts w:ascii="Century Schoolbook" w:hAnsi="Century Schoolbook"/>
          <w:color w:val="231F20"/>
          <w:w w:val="105"/>
        </w:rPr>
        <w:t xml:space="preserve">made </w:t>
      </w:r>
      <w:r w:rsidRPr="00712481">
        <w:rPr>
          <w:rFonts w:ascii="Century Schoolbook" w:hAnsi="Century Schoolbook"/>
          <w:color w:val="231F20"/>
          <w:w w:val="105"/>
        </w:rPr>
        <w:t xml:space="preserve">no provision for </w:t>
      </w:r>
      <w:r>
        <w:rPr>
          <w:rFonts w:ascii="Century Schoolbook" w:hAnsi="Century Schoolbook"/>
          <w:color w:val="231F20"/>
          <w:w w:val="105"/>
        </w:rPr>
        <w:t>recognizing</w:t>
      </w:r>
      <w:r w:rsidRPr="00712481">
        <w:rPr>
          <w:rFonts w:ascii="Century Schoolbook" w:hAnsi="Century Schoolbook"/>
          <w:color w:val="231F20"/>
          <w:w w:val="105"/>
        </w:rPr>
        <w:t xml:space="preserve"> LGBTQ rights</w:t>
      </w:r>
      <w:r>
        <w:rPr>
          <w:rFonts w:ascii="Century Schoolbook" w:hAnsi="Century Schoolbook"/>
          <w:color w:val="231F20"/>
          <w:w w:val="105"/>
        </w:rPr>
        <w:t xml:space="preserve"> even in an incremental way</w:t>
      </w:r>
      <w:r w:rsidRPr="00712481">
        <w:rPr>
          <w:rFonts w:ascii="Century Schoolbook" w:hAnsi="Century Schoolbook"/>
          <w:color w:val="231F20"/>
          <w:w w:val="105"/>
        </w:rPr>
        <w:t>. Religious liberty has been caught in the crossfire</w:t>
      </w:r>
      <w:r>
        <w:rPr>
          <w:rFonts w:ascii="Century Schoolbook" w:hAnsi="Century Schoolbook"/>
          <w:color w:val="231F20"/>
          <w:w w:val="105"/>
        </w:rPr>
        <w:t xml:space="preserve"> of warring groups unwilling to </w:t>
      </w:r>
      <w:r>
        <w:rPr>
          <w:rFonts w:ascii="Century Schoolbook" w:hAnsi="Century Schoolbook"/>
          <w:color w:val="231F20"/>
          <w:w w:val="105"/>
        </w:rPr>
        <w:lastRenderedPageBreak/>
        <w:t>accept the smallest gain for the other side. And religious liberty has suffered as a result, both in its concrete scope and in its status as a fundamental civil right that all Americans should embrace enthusiastically.</w:t>
      </w:r>
    </w:p>
    <w:p w14:paraId="7A7991A7" w14:textId="34DAC603" w:rsidR="00C56804" w:rsidRPr="00712481" w:rsidRDefault="00C56804" w:rsidP="00C56804">
      <w:pPr>
        <w:spacing w:after="160"/>
        <w:ind w:firstLine="360"/>
        <w:jc w:val="both"/>
        <w:rPr>
          <w:rFonts w:ascii="Century Schoolbook" w:hAnsi="Century Schoolbook"/>
          <w:color w:val="231F20"/>
          <w:w w:val="105"/>
        </w:rPr>
      </w:pPr>
      <w:r>
        <w:rPr>
          <w:rFonts w:ascii="Century Schoolbook" w:hAnsi="Century Schoolbook"/>
          <w:color w:val="231F20"/>
          <w:w w:val="105"/>
        </w:rPr>
        <w:t>This bill offers a chance to counter those trends and to enact religious-liberty protections in a bipartisan measure.</w:t>
      </w:r>
      <w:r w:rsidR="009E2861">
        <w:rPr>
          <w:rStyle w:val="FootnoteReference"/>
          <w:rFonts w:ascii="Century Schoolbook" w:hAnsi="Century Schoolbook"/>
          <w:color w:val="231F20"/>
          <w:w w:val="105"/>
        </w:rPr>
        <w:footnoteReference w:id="3"/>
      </w:r>
      <w:r>
        <w:rPr>
          <w:rFonts w:ascii="Century Schoolbook" w:hAnsi="Century Schoolbook"/>
          <w:color w:val="231F20"/>
          <w:w w:val="105"/>
        </w:rPr>
        <w:t xml:space="preserve"> RMA does not provide all the protection that traditionalist believers seek or that they should receive. But the protections it offers are important.</w:t>
      </w:r>
      <w:r w:rsidRPr="00712481">
        <w:rPr>
          <w:rFonts w:ascii="Century Schoolbook" w:hAnsi="Century Schoolbook"/>
          <w:color w:val="231F20"/>
          <w:w w:val="105"/>
        </w:rPr>
        <w:t xml:space="preserve"> </w:t>
      </w:r>
    </w:p>
    <w:p w14:paraId="24D5BBD1" w14:textId="77777777" w:rsidR="00C56804" w:rsidRPr="007B50DA" w:rsidRDefault="00C56804" w:rsidP="00C56804">
      <w:pPr>
        <w:spacing w:after="160"/>
        <w:ind w:left="720" w:hanging="360"/>
        <w:jc w:val="both"/>
        <w:rPr>
          <w:rFonts w:ascii="Century Schoolbook" w:hAnsi="Century Schoolbook"/>
          <w:b/>
          <w:bCs/>
          <w:color w:val="231F20"/>
          <w:w w:val="105"/>
        </w:rPr>
      </w:pPr>
      <w:r w:rsidRPr="007B50DA">
        <w:rPr>
          <w:rFonts w:ascii="Century Schoolbook" w:hAnsi="Century Schoolbook"/>
          <w:b/>
          <w:bCs/>
          <w:color w:val="231F20"/>
          <w:w w:val="105"/>
        </w:rPr>
        <w:t xml:space="preserve">B. The Religious-Liberty Protections Are </w:t>
      </w:r>
      <w:r>
        <w:rPr>
          <w:rFonts w:ascii="Century Schoolbook" w:hAnsi="Century Schoolbook"/>
          <w:b/>
          <w:bCs/>
          <w:color w:val="231F20"/>
          <w:w w:val="105"/>
        </w:rPr>
        <w:t>Important</w:t>
      </w:r>
      <w:r w:rsidRPr="007B50DA">
        <w:rPr>
          <w:rFonts w:ascii="Century Schoolbook" w:hAnsi="Century Schoolbook"/>
          <w:b/>
          <w:bCs/>
          <w:color w:val="231F20"/>
          <w:w w:val="105"/>
        </w:rPr>
        <w:t xml:space="preserve"> in Light of the Context in Which RMA Arises</w:t>
      </w:r>
      <w:r>
        <w:rPr>
          <w:rFonts w:ascii="Century Schoolbook" w:hAnsi="Century Schoolbook"/>
          <w:b/>
          <w:bCs/>
          <w:color w:val="231F20"/>
          <w:w w:val="105"/>
        </w:rPr>
        <w:t>.</w:t>
      </w:r>
    </w:p>
    <w:p w14:paraId="3692F60D" w14:textId="77777777" w:rsidR="00C56804" w:rsidRDefault="00C56804" w:rsidP="00C56804">
      <w:pPr>
        <w:spacing w:after="160"/>
        <w:ind w:firstLine="360"/>
        <w:jc w:val="both"/>
        <w:rPr>
          <w:rFonts w:ascii="Century Schoolbook" w:hAnsi="Century Schoolbook"/>
          <w:color w:val="231F20"/>
          <w:w w:val="105"/>
        </w:rPr>
      </w:pPr>
      <w:r>
        <w:rPr>
          <w:rFonts w:ascii="Century Schoolbook" w:hAnsi="Century Schoolbook"/>
          <w:color w:val="231F20"/>
          <w:w w:val="105"/>
        </w:rPr>
        <w:t>Moreover, the religious-liberty protections that RMA provides must be considered in the context in which RMA arises. Three features of RMA’s context reinforce that its religious-liberty protections are significant.</w:t>
      </w:r>
    </w:p>
    <w:p w14:paraId="3EF6223F" w14:textId="77777777" w:rsidR="00C56804" w:rsidRDefault="00C56804" w:rsidP="00C56804">
      <w:pPr>
        <w:spacing w:after="160"/>
        <w:ind w:firstLine="360"/>
        <w:jc w:val="both"/>
        <w:rPr>
          <w:rFonts w:ascii="Century Schoolbook" w:hAnsi="Century Schoolbook"/>
          <w:color w:val="231F20"/>
          <w:w w:val="105"/>
        </w:rPr>
      </w:pPr>
      <w:r w:rsidRPr="00AB16BD">
        <w:rPr>
          <w:rFonts w:ascii="Century Schoolbook" w:hAnsi="Century Schoolbook"/>
          <w:b/>
          <w:bCs/>
          <w:color w:val="231F20"/>
          <w:w w:val="105"/>
        </w:rPr>
        <w:t>1.</w:t>
      </w:r>
      <w:r>
        <w:rPr>
          <w:rFonts w:ascii="Century Schoolbook" w:hAnsi="Century Schoolbook"/>
          <w:color w:val="231F20"/>
          <w:w w:val="105"/>
        </w:rPr>
        <w:t xml:space="preserve"> </w:t>
      </w:r>
      <w:r w:rsidRPr="00DA5C95">
        <w:rPr>
          <w:rFonts w:ascii="Century Schoolbook" w:hAnsi="Century Schoolbook"/>
          <w:color w:val="231F20"/>
          <w:w w:val="105"/>
        </w:rPr>
        <w:t xml:space="preserve">RMA </w:t>
      </w:r>
      <w:r>
        <w:rPr>
          <w:rFonts w:ascii="Century Schoolbook" w:hAnsi="Century Schoolbook"/>
          <w:color w:val="231F20"/>
          <w:w w:val="105"/>
        </w:rPr>
        <w:t xml:space="preserve">poses little or no new risk to religious liberty beyond those that already exist from nondiscrimination laws combined with same-sex marriage rights under </w:t>
      </w:r>
      <w:r w:rsidRPr="00456CA1">
        <w:rPr>
          <w:rFonts w:ascii="Century Schoolbook" w:hAnsi="Century Schoolbook"/>
          <w:i/>
          <w:iCs/>
          <w:color w:val="231F20"/>
          <w:w w:val="105"/>
        </w:rPr>
        <w:t>Obergefell v. Hodges</w:t>
      </w:r>
      <w:r>
        <w:rPr>
          <w:rFonts w:ascii="Century Schoolbook" w:hAnsi="Century Schoolbook"/>
          <w:color w:val="231F20"/>
          <w:w w:val="105"/>
        </w:rPr>
        <w:t xml:space="preserve">. Those rules are currently in force, without RMA (and without the statutory religious-liberty protections it would provide). </w:t>
      </w:r>
    </w:p>
    <w:p w14:paraId="038C9658" w14:textId="77777777" w:rsidR="00C56804" w:rsidRDefault="00C56804" w:rsidP="00C56804">
      <w:pPr>
        <w:spacing w:after="160"/>
        <w:ind w:firstLine="360"/>
        <w:jc w:val="both"/>
        <w:rPr>
          <w:rFonts w:ascii="Century Schoolbook" w:hAnsi="Century Schoolbook"/>
          <w:color w:val="000000"/>
        </w:rPr>
      </w:pPr>
      <w:r>
        <w:rPr>
          <w:rFonts w:ascii="Century Schoolbook" w:hAnsi="Century Schoolbook"/>
          <w:color w:val="231F20"/>
          <w:w w:val="105"/>
        </w:rPr>
        <w:t xml:space="preserve">RMA </w:t>
      </w:r>
      <w:r w:rsidRPr="00456CA1">
        <w:rPr>
          <w:rFonts w:ascii="Century Schoolbook" w:hAnsi="Century Schoolbook"/>
          <w:color w:val="231F20"/>
          <w:w w:val="105"/>
        </w:rPr>
        <w:t>creates</w:t>
      </w:r>
      <w:r w:rsidRPr="00DA5C95">
        <w:rPr>
          <w:rFonts w:ascii="Century Schoolbook" w:hAnsi="Century Schoolbook"/>
          <w:color w:val="231F20"/>
          <w:w w:val="105"/>
        </w:rPr>
        <w:t xml:space="preserve"> no new cause of action against any private religious entity, even one receiving funding from the state. Only a person acting “under color of state law” can violate the Act. Contrary to the claims of some RMA opponents, Supreme Court precedent is clear that entities do not </w:t>
      </w:r>
      <w:r>
        <w:rPr>
          <w:rFonts w:ascii="Century Schoolbook" w:hAnsi="Century Schoolbook"/>
          <w:color w:val="231F20"/>
          <w:w w:val="105"/>
        </w:rPr>
        <w:t xml:space="preserve">act under color of state law—to use an equivalent term, they are not rendered “state actors”—simply because </w:t>
      </w:r>
      <w:r w:rsidRPr="00DA5C95">
        <w:rPr>
          <w:rFonts w:ascii="Century Schoolbook" w:hAnsi="Century Schoolbook"/>
          <w:color w:val="231F20"/>
          <w:w w:val="105"/>
        </w:rPr>
        <w:t xml:space="preserve">they contract with the state, receive funding from the state (even the lion’s share of their funding), or are heavily regulated by the state. </w:t>
      </w:r>
      <w:r>
        <w:rPr>
          <w:rFonts w:ascii="Century Schoolbook" w:hAnsi="Century Schoolbook"/>
          <w:i/>
          <w:iCs/>
          <w:color w:val="231F20"/>
          <w:w w:val="105"/>
        </w:rPr>
        <w:t xml:space="preserve">Blum v. </w:t>
      </w:r>
      <w:proofErr w:type="spellStart"/>
      <w:r>
        <w:rPr>
          <w:rFonts w:ascii="Century Schoolbook" w:hAnsi="Century Schoolbook"/>
          <w:i/>
          <w:iCs/>
          <w:color w:val="231F20"/>
          <w:w w:val="105"/>
        </w:rPr>
        <w:t>Yaretsky</w:t>
      </w:r>
      <w:proofErr w:type="spellEnd"/>
      <w:r>
        <w:rPr>
          <w:rFonts w:ascii="Century Schoolbook" w:hAnsi="Century Schoolbook"/>
          <w:color w:val="231F20"/>
          <w:w w:val="105"/>
        </w:rPr>
        <w:t xml:space="preserve">, 457 U.S. 991 (1982); </w:t>
      </w:r>
      <w:r>
        <w:rPr>
          <w:rFonts w:ascii="Century Schoolbook" w:hAnsi="Century Schoolbook"/>
          <w:i/>
          <w:iCs/>
          <w:color w:val="231F20"/>
          <w:w w:val="105"/>
        </w:rPr>
        <w:t>Rendell-Baker v. Kohn</w:t>
      </w:r>
      <w:r>
        <w:rPr>
          <w:rFonts w:ascii="Century Schoolbook" w:hAnsi="Century Schoolbook"/>
          <w:color w:val="231F20"/>
          <w:w w:val="105"/>
        </w:rPr>
        <w:t xml:space="preserve">, 457 U.S. 830 (1982). </w:t>
      </w:r>
      <w:r>
        <w:rPr>
          <w:rFonts w:ascii="Century Schoolbook" w:hAnsi="Century Schoolbook"/>
          <w:i/>
          <w:iCs/>
          <w:color w:val="231F20"/>
          <w:w w:val="105"/>
        </w:rPr>
        <w:t>Blum</w:t>
      </w:r>
      <w:r>
        <w:rPr>
          <w:rFonts w:ascii="Century Schoolbook" w:hAnsi="Century Schoolbook"/>
          <w:color w:val="231F20"/>
          <w:w w:val="105"/>
        </w:rPr>
        <w:t>, for example, held that a privately owned skilled nursing facility was not a state actor even though it was heavily regulated, received 90 percent of its income from Medicaid payments, received state subsidies for its capital costs, and was doing something the government required it to do—but what was challenged was a particular means of doing that thing, and the government did not require the means.</w:t>
      </w:r>
      <w:r w:rsidRPr="00B25452">
        <w:rPr>
          <w:rFonts w:ascii="Century Schoolbook" w:hAnsi="Century Schoolbook"/>
          <w:color w:val="231F20"/>
          <w:w w:val="105"/>
        </w:rPr>
        <w:t xml:space="preserve"> </w:t>
      </w:r>
      <w:r>
        <w:rPr>
          <w:rFonts w:ascii="Century Schoolbook" w:hAnsi="Century Schoolbook"/>
          <w:color w:val="231F20"/>
          <w:w w:val="105"/>
        </w:rPr>
        <w:t>“</w:t>
      </w:r>
      <w:r w:rsidRPr="00B25452">
        <w:rPr>
          <w:rFonts w:ascii="Century Schoolbook" w:hAnsi="Century Schoolbook"/>
          <w:color w:val="000000"/>
        </w:rPr>
        <w:t>[C]</w:t>
      </w:r>
      <w:proofErr w:type="spellStart"/>
      <w:r w:rsidRPr="00B25452">
        <w:rPr>
          <w:rFonts w:ascii="Century Schoolbook" w:hAnsi="Century Schoolbook"/>
          <w:color w:val="000000"/>
        </w:rPr>
        <w:t>onstitutional</w:t>
      </w:r>
      <w:proofErr w:type="spellEnd"/>
      <w:r w:rsidRPr="00B25452">
        <w:rPr>
          <w:rFonts w:ascii="Century Schoolbook" w:hAnsi="Century Schoolbook"/>
          <w:color w:val="000000"/>
        </w:rPr>
        <w:t xml:space="preserve"> standards are invoked only when it can be said that the State is </w:t>
      </w:r>
      <w:r w:rsidRPr="00B25452">
        <w:rPr>
          <w:rFonts w:ascii="Century Schoolbook" w:hAnsi="Century Schoolbook"/>
          <w:i/>
          <w:color w:val="000000"/>
        </w:rPr>
        <w:t>responsible</w:t>
      </w:r>
      <w:r w:rsidRPr="00B25452">
        <w:rPr>
          <w:rFonts w:ascii="Century Schoolbook" w:hAnsi="Century Schoolbook"/>
          <w:color w:val="000000"/>
        </w:rPr>
        <w:t xml:space="preserve"> for </w:t>
      </w:r>
      <w:r w:rsidRPr="00B25452">
        <w:rPr>
          <w:rFonts w:ascii="Century Schoolbook" w:hAnsi="Century Schoolbook"/>
          <w:i/>
          <w:color w:val="000000"/>
        </w:rPr>
        <w:t>the specific conduct</w:t>
      </w:r>
      <w:r w:rsidRPr="00B25452">
        <w:rPr>
          <w:rFonts w:ascii="Century Schoolbook" w:hAnsi="Century Schoolbook"/>
          <w:color w:val="000000"/>
        </w:rPr>
        <w:t xml:space="preserve"> of which the plaintiff complains.” </w:t>
      </w:r>
      <w:r w:rsidRPr="00B25452">
        <w:rPr>
          <w:rFonts w:ascii="Century Schoolbook" w:hAnsi="Century Schoolbook"/>
          <w:i/>
          <w:color w:val="000000"/>
        </w:rPr>
        <w:t>Blum</w:t>
      </w:r>
      <w:r w:rsidRPr="00B25452">
        <w:rPr>
          <w:rFonts w:ascii="Century Schoolbook" w:hAnsi="Century Schoolbook"/>
          <w:color w:val="000000"/>
        </w:rPr>
        <w:t>, 457 U.S. at 1004 (second emphasis added).</w:t>
      </w:r>
      <w:r>
        <w:rPr>
          <w:rFonts w:ascii="Century Schoolbook" w:hAnsi="Century Schoolbook"/>
          <w:color w:val="000000"/>
        </w:rPr>
        <w:t xml:space="preserve"> The state had not directed the specific conduct complained of in </w:t>
      </w:r>
      <w:r>
        <w:rPr>
          <w:rFonts w:ascii="Century Schoolbook" w:hAnsi="Century Schoolbook"/>
          <w:i/>
          <w:iCs/>
          <w:color w:val="000000"/>
        </w:rPr>
        <w:t>Blum</w:t>
      </w:r>
      <w:r>
        <w:rPr>
          <w:rFonts w:ascii="Century Schoolbook" w:hAnsi="Century Schoolbook"/>
          <w:color w:val="000000"/>
        </w:rPr>
        <w:t>. Nor, obviously, can the government be said to have directed a religious nonprofit’s specific decision to disfavor same-sex relationships.</w:t>
      </w:r>
      <w:r>
        <w:rPr>
          <w:rStyle w:val="FootnoteReference"/>
          <w:rFonts w:ascii="Century Schoolbook" w:hAnsi="Century Schoolbook"/>
          <w:color w:val="000000"/>
        </w:rPr>
        <w:footnoteReference w:id="4"/>
      </w:r>
      <w:r>
        <w:rPr>
          <w:rFonts w:ascii="Century Schoolbook" w:hAnsi="Century Schoolbook"/>
          <w:color w:val="000000"/>
        </w:rPr>
        <w:t xml:space="preserve"> </w:t>
      </w:r>
    </w:p>
    <w:p w14:paraId="43705E13" w14:textId="77777777" w:rsidR="00C56804" w:rsidRDefault="00C56804" w:rsidP="00C56804">
      <w:pPr>
        <w:spacing w:after="160"/>
        <w:ind w:firstLine="360"/>
        <w:jc w:val="both"/>
        <w:rPr>
          <w:rFonts w:ascii="Century Schoolbook" w:hAnsi="Century Schoolbook"/>
          <w:color w:val="231F20"/>
          <w:w w:val="105"/>
        </w:rPr>
      </w:pPr>
      <w:r w:rsidRPr="00AB16BD">
        <w:rPr>
          <w:rFonts w:ascii="Century Schoolbook" w:hAnsi="Century Schoolbook"/>
          <w:b/>
          <w:bCs/>
          <w:color w:val="231F20"/>
          <w:w w:val="105"/>
        </w:rPr>
        <w:t>2.</w:t>
      </w:r>
      <w:r>
        <w:rPr>
          <w:rFonts w:ascii="Century Schoolbook" w:hAnsi="Century Schoolbook"/>
          <w:color w:val="231F20"/>
          <w:w w:val="105"/>
        </w:rPr>
        <w:t xml:space="preserve"> If RMA creates no new liability, then the only way it could make traditional believers’ religious liberty less secure is if the Supreme Court were ready </w:t>
      </w:r>
      <w:r w:rsidRPr="00823794">
        <w:rPr>
          <w:rFonts w:ascii="Century Schoolbook" w:hAnsi="Century Schoolbook"/>
          <w:color w:val="231F20"/>
          <w:w w:val="105"/>
        </w:rPr>
        <w:t>to over</w:t>
      </w:r>
      <w:r>
        <w:rPr>
          <w:rFonts w:ascii="Century Schoolbook" w:hAnsi="Century Schoolbook"/>
          <w:color w:val="231F20"/>
          <w:w w:val="105"/>
        </w:rPr>
        <w:t xml:space="preserve">rule </w:t>
      </w:r>
      <w:r w:rsidRPr="00823794">
        <w:rPr>
          <w:rFonts w:ascii="Century Schoolbook" w:hAnsi="Century Schoolbook"/>
          <w:i/>
          <w:iCs/>
          <w:color w:val="231F20"/>
          <w:w w:val="105"/>
        </w:rPr>
        <w:t>Obergefell</w:t>
      </w:r>
      <w:r>
        <w:rPr>
          <w:rFonts w:ascii="Century Schoolbook" w:hAnsi="Century Schoolbook"/>
          <w:color w:val="231F20"/>
          <w:w w:val="105"/>
        </w:rPr>
        <w:t>, ending the constitutional right to same-sex marriage, and RMA then preserved a small portion of that right by statute.</w:t>
      </w:r>
      <w:r>
        <w:rPr>
          <w:rStyle w:val="FootnoteReference"/>
          <w:rFonts w:ascii="Century Schoolbook" w:hAnsi="Century Schoolbook"/>
          <w:color w:val="231F20"/>
          <w:w w:val="105"/>
        </w:rPr>
        <w:footnoteReference w:id="5"/>
      </w:r>
      <w:r>
        <w:rPr>
          <w:rFonts w:ascii="Century Schoolbook" w:hAnsi="Century Schoolbook"/>
          <w:color w:val="231F20"/>
          <w:w w:val="105"/>
        </w:rPr>
        <w:t xml:space="preserve"> </w:t>
      </w:r>
      <w:r w:rsidRPr="00823794">
        <w:rPr>
          <w:rFonts w:ascii="Century Schoolbook" w:hAnsi="Century Schoolbook"/>
          <w:color w:val="231F20"/>
          <w:w w:val="105"/>
        </w:rPr>
        <w:t xml:space="preserve">But the chances of overturning </w:t>
      </w:r>
      <w:r w:rsidRPr="00823794">
        <w:rPr>
          <w:rFonts w:ascii="Century Schoolbook" w:hAnsi="Century Schoolbook"/>
          <w:i/>
          <w:iCs/>
          <w:color w:val="231F20"/>
          <w:w w:val="105"/>
        </w:rPr>
        <w:t>Obergefell</w:t>
      </w:r>
      <w:r w:rsidRPr="00823794">
        <w:rPr>
          <w:rFonts w:ascii="Century Schoolbook" w:hAnsi="Century Schoolbook"/>
          <w:color w:val="231F20"/>
          <w:w w:val="105"/>
        </w:rPr>
        <w:t xml:space="preserve"> are </w:t>
      </w:r>
      <w:r>
        <w:rPr>
          <w:rFonts w:ascii="Century Schoolbook" w:hAnsi="Century Schoolbook"/>
          <w:color w:val="231F20"/>
          <w:w w:val="105"/>
        </w:rPr>
        <w:t xml:space="preserve">small. </w:t>
      </w:r>
      <w:r w:rsidRPr="00823794">
        <w:rPr>
          <w:rFonts w:ascii="Century Schoolbook" w:hAnsi="Century Schoolbook"/>
          <w:color w:val="231F20"/>
          <w:w w:val="105"/>
        </w:rPr>
        <w:t xml:space="preserve">Justice Thomas’s call to overturn it, made in his concurrence in </w:t>
      </w:r>
      <w:r w:rsidRPr="00823794">
        <w:rPr>
          <w:rFonts w:ascii="Century Schoolbook" w:hAnsi="Century Schoolbook"/>
          <w:i/>
          <w:iCs/>
          <w:color w:val="231F20"/>
          <w:w w:val="105"/>
        </w:rPr>
        <w:t>Dobbs v. Jackson Women’s Health</w:t>
      </w:r>
      <w:r>
        <w:rPr>
          <w:rFonts w:ascii="Century Schoolbook" w:hAnsi="Century Schoolbook"/>
          <w:i/>
          <w:iCs/>
          <w:color w:val="231F20"/>
          <w:w w:val="105"/>
        </w:rPr>
        <w:t xml:space="preserve"> Org.</w:t>
      </w:r>
      <w:r w:rsidRPr="00823794">
        <w:rPr>
          <w:rFonts w:ascii="Century Schoolbook" w:hAnsi="Century Schoolbook"/>
          <w:color w:val="231F20"/>
          <w:w w:val="105"/>
        </w:rPr>
        <w:t xml:space="preserve">, </w:t>
      </w:r>
      <w:r>
        <w:rPr>
          <w:rFonts w:ascii="Century Schoolbook" w:hAnsi="Century Schoolbook"/>
          <w:color w:val="231F20"/>
          <w:w w:val="105"/>
        </w:rPr>
        <w:t xml:space="preserve">142 S. Ct. 2228 (2022), </w:t>
      </w:r>
      <w:r w:rsidRPr="00823794">
        <w:rPr>
          <w:rFonts w:ascii="Century Schoolbook" w:hAnsi="Century Schoolbook"/>
          <w:color w:val="231F20"/>
          <w:w w:val="105"/>
        </w:rPr>
        <w:t xml:space="preserve">attracted no other votes. </w:t>
      </w:r>
      <w:r>
        <w:rPr>
          <w:rFonts w:ascii="Century Schoolbook" w:hAnsi="Century Schoolbook"/>
          <w:color w:val="231F20"/>
          <w:w w:val="105"/>
        </w:rPr>
        <w:t xml:space="preserve">Rather, the </w:t>
      </w:r>
      <w:r w:rsidRPr="00823794">
        <w:rPr>
          <w:rFonts w:ascii="Century Schoolbook" w:hAnsi="Century Schoolbook"/>
          <w:i/>
          <w:iCs/>
          <w:color w:val="231F20"/>
          <w:w w:val="105"/>
        </w:rPr>
        <w:t>Dobbs</w:t>
      </w:r>
      <w:r w:rsidRPr="00823794">
        <w:rPr>
          <w:rFonts w:ascii="Century Schoolbook" w:hAnsi="Century Schoolbook"/>
          <w:color w:val="231F20"/>
          <w:w w:val="105"/>
        </w:rPr>
        <w:t xml:space="preserve"> majority opinion emphasize</w:t>
      </w:r>
      <w:r>
        <w:rPr>
          <w:rFonts w:ascii="Century Schoolbook" w:hAnsi="Century Schoolbook"/>
          <w:color w:val="231F20"/>
          <w:w w:val="105"/>
        </w:rPr>
        <w:t>d</w:t>
      </w:r>
      <w:r w:rsidRPr="00823794">
        <w:rPr>
          <w:rFonts w:ascii="Century Schoolbook" w:hAnsi="Century Schoolbook"/>
          <w:color w:val="231F20"/>
          <w:w w:val="105"/>
        </w:rPr>
        <w:t xml:space="preserve">, </w:t>
      </w:r>
      <w:r>
        <w:rPr>
          <w:rFonts w:ascii="Century Schoolbook" w:hAnsi="Century Schoolbook"/>
          <w:color w:val="231F20"/>
          <w:w w:val="105"/>
        </w:rPr>
        <w:t xml:space="preserve">in </w:t>
      </w:r>
      <w:r w:rsidRPr="00823794">
        <w:rPr>
          <w:rFonts w:ascii="Century Schoolbook" w:hAnsi="Century Schoolbook"/>
          <w:color w:val="231F20"/>
          <w:w w:val="105"/>
        </w:rPr>
        <w:t xml:space="preserve">three different places, that the overruling of constitutional abortion rights did not cast doubt on other substantive due process precedents, because abortion is a “unique act” involving termination of a </w:t>
      </w:r>
      <w:r>
        <w:rPr>
          <w:rFonts w:ascii="Century Schoolbook" w:hAnsi="Century Schoolbook"/>
          <w:color w:val="231F20"/>
          <w:w w:val="105"/>
        </w:rPr>
        <w:t>“</w:t>
      </w:r>
      <w:r w:rsidRPr="00823794">
        <w:rPr>
          <w:rFonts w:ascii="Century Schoolbook" w:hAnsi="Century Schoolbook"/>
          <w:color w:val="231F20"/>
          <w:w w:val="105"/>
        </w:rPr>
        <w:t>life or potential life.</w:t>
      </w:r>
      <w:r>
        <w:rPr>
          <w:rFonts w:ascii="Century Schoolbook" w:hAnsi="Century Schoolbook"/>
          <w:color w:val="231F20"/>
          <w:w w:val="105"/>
        </w:rPr>
        <w:t xml:space="preserve">” 142 S. Ct. at 2277; </w:t>
      </w:r>
      <w:r>
        <w:rPr>
          <w:rFonts w:ascii="Century Schoolbook" w:hAnsi="Century Schoolbook"/>
          <w:i/>
          <w:iCs/>
          <w:color w:val="231F20"/>
          <w:w w:val="105"/>
        </w:rPr>
        <w:t>id.</w:t>
      </w:r>
      <w:r>
        <w:rPr>
          <w:rFonts w:ascii="Century Schoolbook" w:hAnsi="Century Schoolbook"/>
          <w:color w:val="231F20"/>
          <w:w w:val="105"/>
        </w:rPr>
        <w:t xml:space="preserve"> at 2258, 2280.</w:t>
      </w:r>
      <w:r w:rsidRPr="00823794">
        <w:rPr>
          <w:rFonts w:ascii="Century Schoolbook" w:hAnsi="Century Schoolbook"/>
          <w:color w:val="231F20"/>
          <w:w w:val="105"/>
        </w:rPr>
        <w:t xml:space="preserve"> Justice Kavanaugh reiterated the point in his concurrence. </w:t>
      </w:r>
      <w:r>
        <w:rPr>
          <w:rFonts w:ascii="Century Schoolbook" w:hAnsi="Century Schoolbook"/>
          <w:i/>
          <w:iCs/>
          <w:color w:val="231F20"/>
          <w:w w:val="105"/>
        </w:rPr>
        <w:t>Id.</w:t>
      </w:r>
      <w:r>
        <w:rPr>
          <w:rFonts w:ascii="Century Schoolbook" w:hAnsi="Century Schoolbook"/>
          <w:color w:val="231F20"/>
          <w:w w:val="105"/>
        </w:rPr>
        <w:t xml:space="preserve"> at 2309. </w:t>
      </w:r>
      <w:r w:rsidRPr="00823794">
        <w:rPr>
          <w:rFonts w:ascii="Century Schoolbook" w:hAnsi="Century Schoolbook"/>
          <w:color w:val="231F20"/>
          <w:w w:val="105"/>
        </w:rPr>
        <w:t xml:space="preserve">Conservatives have generally </w:t>
      </w:r>
      <w:r>
        <w:rPr>
          <w:rFonts w:ascii="Century Schoolbook" w:hAnsi="Century Schoolbook"/>
          <w:color w:val="231F20"/>
          <w:w w:val="105"/>
        </w:rPr>
        <w:t xml:space="preserve">urged taking these assurances from </w:t>
      </w:r>
      <w:r w:rsidRPr="00823794">
        <w:rPr>
          <w:rFonts w:ascii="Century Schoolbook" w:hAnsi="Century Schoolbook"/>
          <w:color w:val="231F20"/>
          <w:w w:val="105"/>
        </w:rPr>
        <w:t xml:space="preserve">the </w:t>
      </w:r>
      <w:r w:rsidRPr="00823794">
        <w:rPr>
          <w:rFonts w:ascii="Century Schoolbook" w:hAnsi="Century Schoolbook"/>
          <w:i/>
          <w:iCs/>
          <w:color w:val="231F20"/>
          <w:w w:val="105"/>
        </w:rPr>
        <w:t>Dobbs</w:t>
      </w:r>
      <w:r w:rsidRPr="00823794">
        <w:rPr>
          <w:rFonts w:ascii="Century Schoolbook" w:hAnsi="Century Schoolbook"/>
          <w:color w:val="231F20"/>
          <w:w w:val="105"/>
        </w:rPr>
        <w:t xml:space="preserve"> majority </w:t>
      </w:r>
      <w:r>
        <w:rPr>
          <w:rFonts w:ascii="Century Schoolbook" w:hAnsi="Century Schoolbook"/>
          <w:color w:val="231F20"/>
          <w:w w:val="105"/>
        </w:rPr>
        <w:t xml:space="preserve">as genuine and reliable. </w:t>
      </w:r>
    </w:p>
    <w:p w14:paraId="48D5C9E8" w14:textId="77777777" w:rsidR="00C56804" w:rsidRPr="00FC2BC5" w:rsidRDefault="00C56804" w:rsidP="00C56804">
      <w:pPr>
        <w:spacing w:after="160"/>
        <w:ind w:firstLine="360"/>
        <w:jc w:val="both"/>
        <w:rPr>
          <w:rFonts w:ascii="Century Schoolbook" w:hAnsi="Century Schoolbook"/>
          <w:color w:val="231F20"/>
          <w:w w:val="105"/>
        </w:rPr>
      </w:pPr>
      <w:r w:rsidRPr="00823794">
        <w:rPr>
          <w:rFonts w:ascii="Century Schoolbook" w:hAnsi="Century Schoolbook"/>
          <w:color w:val="231F20"/>
          <w:w w:val="105"/>
        </w:rPr>
        <w:t xml:space="preserve">As constitutional scholars and observers, we agree. </w:t>
      </w:r>
      <w:r>
        <w:rPr>
          <w:rFonts w:ascii="Century Schoolbook" w:hAnsi="Century Schoolbook"/>
          <w:color w:val="231F20"/>
          <w:w w:val="105"/>
        </w:rPr>
        <w:t xml:space="preserve">To overrule </w:t>
      </w:r>
      <w:r w:rsidRPr="001D3ED8">
        <w:rPr>
          <w:rFonts w:ascii="Century Schoolbook" w:hAnsi="Century Schoolbook"/>
          <w:i/>
          <w:iCs/>
          <w:color w:val="231F20"/>
          <w:w w:val="105"/>
        </w:rPr>
        <w:t>Obergefell</w:t>
      </w:r>
      <w:r>
        <w:rPr>
          <w:rFonts w:ascii="Century Schoolbook" w:hAnsi="Century Schoolbook"/>
          <w:color w:val="231F20"/>
          <w:w w:val="105"/>
        </w:rPr>
        <w:t xml:space="preserve">, the Court would have to undo </w:t>
      </w:r>
      <w:r w:rsidRPr="00823794">
        <w:rPr>
          <w:rFonts w:ascii="Century Schoolbook" w:hAnsi="Century Schoolbook"/>
          <w:color w:val="231F20"/>
          <w:w w:val="105"/>
        </w:rPr>
        <w:t xml:space="preserve">thousands of same-sex marriages entered into </w:t>
      </w:r>
      <w:r>
        <w:rPr>
          <w:rFonts w:ascii="Century Schoolbook" w:hAnsi="Century Schoolbook"/>
          <w:color w:val="231F20"/>
          <w:w w:val="105"/>
        </w:rPr>
        <w:t xml:space="preserve">in reliance on that decision </w:t>
      </w:r>
      <w:r w:rsidRPr="00823794">
        <w:rPr>
          <w:rFonts w:ascii="Century Schoolbook" w:hAnsi="Century Schoolbook"/>
          <w:color w:val="231F20"/>
          <w:w w:val="105"/>
        </w:rPr>
        <w:t xml:space="preserve">or </w:t>
      </w:r>
      <w:r>
        <w:rPr>
          <w:rFonts w:ascii="Century Schoolbook" w:hAnsi="Century Schoolbook"/>
          <w:color w:val="231F20"/>
          <w:w w:val="105"/>
        </w:rPr>
        <w:t xml:space="preserve">else create </w:t>
      </w:r>
      <w:r w:rsidRPr="00823794">
        <w:rPr>
          <w:rFonts w:ascii="Century Schoolbook" w:hAnsi="Century Schoolbook"/>
          <w:color w:val="231F20"/>
          <w:w w:val="105"/>
        </w:rPr>
        <w:t xml:space="preserve">a two-tier system </w:t>
      </w:r>
      <w:r>
        <w:rPr>
          <w:rFonts w:ascii="Century Schoolbook" w:hAnsi="Century Schoolbook"/>
          <w:color w:val="231F20"/>
          <w:w w:val="105"/>
        </w:rPr>
        <w:t xml:space="preserve">in which </w:t>
      </w:r>
      <w:r w:rsidRPr="00823794">
        <w:rPr>
          <w:rFonts w:ascii="Century Schoolbook" w:hAnsi="Century Schoolbook"/>
          <w:color w:val="231F20"/>
          <w:w w:val="105"/>
        </w:rPr>
        <w:t xml:space="preserve">some same-sex couples </w:t>
      </w:r>
      <w:r>
        <w:rPr>
          <w:rFonts w:ascii="Century Schoolbook" w:hAnsi="Century Schoolbook"/>
          <w:color w:val="231F20"/>
          <w:w w:val="105"/>
        </w:rPr>
        <w:t xml:space="preserve">will be </w:t>
      </w:r>
      <w:r w:rsidRPr="00823794">
        <w:rPr>
          <w:rFonts w:ascii="Century Schoolbook" w:hAnsi="Century Schoolbook"/>
          <w:color w:val="231F20"/>
          <w:w w:val="105"/>
        </w:rPr>
        <w:t xml:space="preserve">validly married </w:t>
      </w:r>
      <w:r>
        <w:rPr>
          <w:rFonts w:ascii="Century Schoolbook" w:hAnsi="Century Schoolbook"/>
          <w:color w:val="231F20"/>
          <w:w w:val="105"/>
        </w:rPr>
        <w:t xml:space="preserve">for fifty or sixty years because they married </w:t>
      </w:r>
      <w:r w:rsidRPr="00823794">
        <w:rPr>
          <w:rFonts w:ascii="Century Schoolbook" w:hAnsi="Century Schoolbook"/>
          <w:color w:val="231F20"/>
          <w:w w:val="105"/>
        </w:rPr>
        <w:t xml:space="preserve">during a window of opportunity while </w:t>
      </w:r>
      <w:r>
        <w:rPr>
          <w:rFonts w:ascii="Century Schoolbook" w:hAnsi="Century Schoolbook"/>
          <w:color w:val="231F20"/>
          <w:w w:val="105"/>
        </w:rPr>
        <w:t xml:space="preserve">all </w:t>
      </w:r>
      <w:r w:rsidRPr="00823794">
        <w:rPr>
          <w:rFonts w:ascii="Century Schoolbook" w:hAnsi="Century Schoolbook"/>
          <w:color w:val="231F20"/>
          <w:w w:val="105"/>
        </w:rPr>
        <w:t>future couples are barred</w:t>
      </w:r>
      <w:r>
        <w:rPr>
          <w:rFonts w:ascii="Century Schoolbook" w:hAnsi="Century Schoolbook"/>
          <w:color w:val="231F20"/>
          <w:w w:val="105"/>
        </w:rPr>
        <w:t xml:space="preserve"> in many states</w:t>
      </w:r>
      <w:r w:rsidRPr="00823794">
        <w:rPr>
          <w:rFonts w:ascii="Century Schoolbook" w:hAnsi="Century Schoolbook"/>
          <w:color w:val="231F20"/>
          <w:w w:val="105"/>
        </w:rPr>
        <w:t>.</w:t>
      </w:r>
      <w:r>
        <w:rPr>
          <w:rFonts w:ascii="Century Schoolbook" w:hAnsi="Century Schoolbook"/>
          <w:color w:val="231F20"/>
          <w:w w:val="105"/>
        </w:rPr>
        <w:t xml:space="preserve"> We very much doubt that a majority will take that step.</w:t>
      </w:r>
    </w:p>
    <w:p w14:paraId="4CAF9C4D" w14:textId="77777777" w:rsidR="00C56804" w:rsidRDefault="00C56804" w:rsidP="00C56804">
      <w:pPr>
        <w:ind w:firstLine="360"/>
        <w:jc w:val="both"/>
        <w:rPr>
          <w:rFonts w:ascii="Century Schoolbook" w:hAnsi="Century Schoolbook"/>
          <w:color w:val="231F20"/>
          <w:w w:val="105"/>
        </w:rPr>
      </w:pPr>
      <w:r w:rsidRPr="00A17CF2">
        <w:rPr>
          <w:rFonts w:ascii="Century Schoolbook" w:hAnsi="Century Schoolbook"/>
          <w:b/>
          <w:bCs/>
          <w:color w:val="231F20"/>
          <w:w w:val="105"/>
        </w:rPr>
        <w:t>3.</w:t>
      </w:r>
      <w:r>
        <w:rPr>
          <w:rFonts w:ascii="Century Schoolbook" w:hAnsi="Century Schoolbook"/>
          <w:color w:val="231F20"/>
          <w:w w:val="105"/>
        </w:rPr>
        <w:t xml:space="preserve"> Finally, as we have already emphasized, religious-liberty protections, however defensible and warranted, have repeatedly failed when embodied </w:t>
      </w:r>
      <w:proofErr w:type="gramStart"/>
      <w:r>
        <w:rPr>
          <w:rFonts w:ascii="Century Schoolbook" w:hAnsi="Century Schoolbook"/>
          <w:color w:val="231F20"/>
          <w:w w:val="105"/>
        </w:rPr>
        <w:t>in  legislation</w:t>
      </w:r>
      <w:proofErr w:type="gramEnd"/>
      <w:r>
        <w:rPr>
          <w:rFonts w:ascii="Century Schoolbook" w:hAnsi="Century Schoolbook"/>
          <w:color w:val="231F20"/>
          <w:w w:val="105"/>
        </w:rPr>
        <w:t xml:space="preserve"> that provides no benefits (however incremental) to LGBTQ rights. The question is not whether this bill provides all the protections that traditional believers and institutions will need in all contexts. The question is whether the bill provides protections that are significant when compared with new risks to religious liberty that the legislation creates. Because we conclude that the bill’s protections are important and that any new risks it creates are quite limited, we see it as an advance for religious liberty. </w:t>
      </w:r>
    </w:p>
    <w:p w14:paraId="5342DF2A" w14:textId="77777777" w:rsidR="00C56804" w:rsidRDefault="00C56804" w:rsidP="00C56804">
      <w:pPr>
        <w:jc w:val="both"/>
        <w:rPr>
          <w:rFonts w:ascii="Century Schoolbook" w:hAnsi="Century Schoolbook"/>
          <w:color w:val="231F20"/>
          <w:w w:val="105"/>
        </w:rPr>
      </w:pPr>
    </w:p>
    <w:p w14:paraId="7129336D" w14:textId="77777777" w:rsidR="00C56804" w:rsidRDefault="00C56804" w:rsidP="00C56804">
      <w:pPr>
        <w:ind w:left="2880"/>
        <w:jc w:val="both"/>
        <w:rPr>
          <w:rFonts w:ascii="Century Schoolbook" w:hAnsi="Century Schoolbook"/>
          <w:color w:val="231F20"/>
          <w:w w:val="105"/>
        </w:rPr>
      </w:pPr>
      <w:r>
        <w:rPr>
          <w:rFonts w:ascii="Century Schoolbook" w:hAnsi="Century Schoolbook"/>
          <w:color w:val="231F20"/>
          <w:w w:val="105"/>
        </w:rPr>
        <w:t>Douglas Laycock</w:t>
      </w:r>
    </w:p>
    <w:p w14:paraId="54A6C5AF" w14:textId="77777777" w:rsidR="00C56804" w:rsidRDefault="00C56804" w:rsidP="00C56804">
      <w:pPr>
        <w:ind w:left="2880"/>
        <w:jc w:val="both"/>
        <w:rPr>
          <w:rFonts w:ascii="Century Schoolbook" w:hAnsi="Century Schoolbook"/>
          <w:color w:val="231F20"/>
          <w:w w:val="105"/>
        </w:rPr>
      </w:pPr>
      <w:r>
        <w:rPr>
          <w:rFonts w:ascii="Century Schoolbook" w:hAnsi="Century Schoolbook"/>
          <w:color w:val="231F20"/>
          <w:w w:val="105"/>
        </w:rPr>
        <w:t>Robert E. Scott Distinguished Professor of Law</w:t>
      </w:r>
    </w:p>
    <w:p w14:paraId="1CFAAE28" w14:textId="77777777" w:rsidR="00C56804" w:rsidRDefault="00C56804" w:rsidP="00C56804">
      <w:pPr>
        <w:ind w:left="2880"/>
        <w:jc w:val="both"/>
        <w:rPr>
          <w:rFonts w:ascii="Century Schoolbook" w:hAnsi="Century Schoolbook"/>
          <w:color w:val="231F20"/>
          <w:w w:val="105"/>
        </w:rPr>
      </w:pPr>
      <w:r>
        <w:rPr>
          <w:rFonts w:ascii="Century Schoolbook" w:hAnsi="Century Schoolbook"/>
          <w:color w:val="231F20"/>
          <w:w w:val="105"/>
        </w:rPr>
        <w:t>University of Virginia</w:t>
      </w:r>
    </w:p>
    <w:p w14:paraId="5ED9ABE3" w14:textId="32CC6B79" w:rsidR="00C56804" w:rsidRDefault="00C56804" w:rsidP="00C56804">
      <w:pPr>
        <w:ind w:left="2880"/>
        <w:jc w:val="both"/>
        <w:rPr>
          <w:rFonts w:ascii="Century Schoolbook" w:hAnsi="Century Schoolbook"/>
          <w:color w:val="231F20"/>
          <w:w w:val="105"/>
        </w:rPr>
      </w:pPr>
      <w:r>
        <w:rPr>
          <w:rFonts w:ascii="Century Schoolbook" w:hAnsi="Century Schoolbook"/>
          <w:color w:val="231F20"/>
          <w:w w:val="105"/>
        </w:rPr>
        <w:t>Alice McKean Young Regents Chair in Law Emeritus</w:t>
      </w:r>
    </w:p>
    <w:p w14:paraId="5FA3FC07" w14:textId="77777777" w:rsidR="00C56804" w:rsidRPr="00AC3C70" w:rsidRDefault="00C56804" w:rsidP="00C56804">
      <w:pPr>
        <w:ind w:left="2880"/>
        <w:jc w:val="both"/>
        <w:rPr>
          <w:rFonts w:ascii="Century Schoolbook" w:hAnsi="Century Schoolbook"/>
        </w:rPr>
      </w:pPr>
      <w:r>
        <w:rPr>
          <w:rFonts w:ascii="Century Schoolbook" w:hAnsi="Century Schoolbook"/>
          <w:color w:val="231F20"/>
          <w:w w:val="105"/>
        </w:rPr>
        <w:t>University of Texas</w:t>
      </w:r>
    </w:p>
    <w:p w14:paraId="0196FC54" w14:textId="77777777" w:rsidR="00C56804" w:rsidRDefault="00C56804" w:rsidP="00C56804">
      <w:pPr>
        <w:ind w:left="2880"/>
        <w:jc w:val="both"/>
        <w:rPr>
          <w:rFonts w:ascii="Century Schoolbook" w:hAnsi="Century Schoolbook"/>
          <w:color w:val="231F20"/>
          <w:w w:val="105"/>
        </w:rPr>
      </w:pPr>
    </w:p>
    <w:p w14:paraId="5978F437" w14:textId="77777777" w:rsidR="00C56804" w:rsidRDefault="00C56804" w:rsidP="00C56804">
      <w:pPr>
        <w:ind w:left="2880"/>
        <w:jc w:val="both"/>
        <w:rPr>
          <w:rFonts w:ascii="Century Schoolbook" w:hAnsi="Century Schoolbook"/>
          <w:color w:val="231F20"/>
          <w:w w:val="105"/>
        </w:rPr>
      </w:pPr>
      <w:r>
        <w:rPr>
          <w:rFonts w:ascii="Century Schoolbook" w:hAnsi="Century Schoolbook"/>
          <w:color w:val="231F20"/>
          <w:w w:val="105"/>
        </w:rPr>
        <w:t>Thomas C. Berg</w:t>
      </w:r>
    </w:p>
    <w:p w14:paraId="103DD838" w14:textId="77777777" w:rsidR="00C56804" w:rsidRDefault="00C56804" w:rsidP="00C56804">
      <w:pPr>
        <w:ind w:left="3240" w:hanging="360"/>
        <w:jc w:val="both"/>
        <w:rPr>
          <w:rFonts w:ascii="Century Schoolbook" w:hAnsi="Century Schoolbook"/>
          <w:color w:val="231F20"/>
          <w:w w:val="105"/>
        </w:rPr>
      </w:pPr>
      <w:r>
        <w:rPr>
          <w:rFonts w:ascii="Century Schoolbook" w:hAnsi="Century Schoolbook"/>
          <w:color w:val="231F20"/>
          <w:w w:val="105"/>
        </w:rPr>
        <w:t>James L. Oberstar Professor of Law and Public Policy</w:t>
      </w:r>
    </w:p>
    <w:p w14:paraId="2F9CA7F3" w14:textId="77777777" w:rsidR="00C56804" w:rsidRDefault="00C56804" w:rsidP="00C56804">
      <w:pPr>
        <w:ind w:left="3240" w:hanging="360"/>
        <w:jc w:val="both"/>
        <w:rPr>
          <w:rFonts w:ascii="Century Schoolbook" w:hAnsi="Century Schoolbook"/>
          <w:color w:val="231F20"/>
          <w:w w:val="105"/>
        </w:rPr>
      </w:pPr>
      <w:r>
        <w:rPr>
          <w:rFonts w:ascii="Century Schoolbook" w:hAnsi="Century Schoolbook"/>
          <w:color w:val="231F20"/>
          <w:w w:val="105"/>
        </w:rPr>
        <w:t>University of St. Thomas (Minnesota)</w:t>
      </w:r>
    </w:p>
    <w:p w14:paraId="27E3D352" w14:textId="77777777" w:rsidR="00C56804" w:rsidRDefault="00C56804" w:rsidP="00C56804">
      <w:pPr>
        <w:ind w:left="2880"/>
        <w:jc w:val="both"/>
        <w:rPr>
          <w:rFonts w:ascii="Century Schoolbook" w:hAnsi="Century Schoolbook"/>
          <w:color w:val="231F20"/>
          <w:w w:val="105"/>
        </w:rPr>
      </w:pPr>
    </w:p>
    <w:p w14:paraId="6A2EB38C" w14:textId="77777777" w:rsidR="00C56804" w:rsidRDefault="00C56804" w:rsidP="00C56804">
      <w:pPr>
        <w:ind w:left="2880"/>
        <w:jc w:val="both"/>
        <w:rPr>
          <w:rFonts w:ascii="Century Schoolbook" w:hAnsi="Century Schoolbook"/>
          <w:color w:val="231F20"/>
          <w:w w:val="105"/>
        </w:rPr>
      </w:pPr>
      <w:r>
        <w:rPr>
          <w:rFonts w:ascii="Century Schoolbook" w:hAnsi="Century Schoolbook"/>
          <w:color w:val="231F20"/>
          <w:w w:val="105"/>
        </w:rPr>
        <w:t>Carl H. Esbeck</w:t>
      </w:r>
    </w:p>
    <w:p w14:paraId="1CAAFBFF" w14:textId="77777777" w:rsidR="00C56804" w:rsidRDefault="00C56804" w:rsidP="00C56804">
      <w:pPr>
        <w:ind w:left="3240" w:hanging="360"/>
        <w:jc w:val="both"/>
        <w:rPr>
          <w:rFonts w:ascii="Century Schoolbook" w:hAnsi="Century Schoolbook"/>
          <w:color w:val="231F20"/>
          <w:w w:val="105"/>
        </w:rPr>
      </w:pPr>
      <w:r>
        <w:rPr>
          <w:rFonts w:ascii="Century Schoolbook" w:hAnsi="Century Schoolbook"/>
          <w:color w:val="231F20"/>
          <w:w w:val="105"/>
        </w:rPr>
        <w:t>R.B. Price Professor Emeritus of Law and Isabelle Wade and Paul C. Lyda Professor Emeritus of Law</w:t>
      </w:r>
    </w:p>
    <w:p w14:paraId="66921BF5" w14:textId="6E36ED3E" w:rsidR="00C56804" w:rsidRDefault="00C56804" w:rsidP="00C56804">
      <w:pPr>
        <w:ind w:left="2880"/>
        <w:jc w:val="both"/>
        <w:rPr>
          <w:rFonts w:ascii="Century Schoolbook" w:hAnsi="Century Schoolbook"/>
          <w:color w:val="231F20"/>
          <w:w w:val="105"/>
        </w:rPr>
      </w:pPr>
      <w:r>
        <w:rPr>
          <w:rFonts w:ascii="Century Schoolbook" w:hAnsi="Century Schoolbook"/>
          <w:color w:val="231F20"/>
          <w:w w:val="105"/>
        </w:rPr>
        <w:t>University of Missouri</w:t>
      </w:r>
    </w:p>
    <w:p w14:paraId="4C386260" w14:textId="2A22EAA6" w:rsidR="00ED4AFD" w:rsidRDefault="00ED4AFD" w:rsidP="00C56804">
      <w:pPr>
        <w:ind w:left="2880"/>
        <w:jc w:val="both"/>
        <w:rPr>
          <w:rFonts w:ascii="Century Schoolbook" w:hAnsi="Century Schoolbook"/>
          <w:color w:val="231F20"/>
          <w:w w:val="105"/>
        </w:rPr>
      </w:pPr>
    </w:p>
    <w:p w14:paraId="189099C1" w14:textId="23344042" w:rsidR="00ED4AFD" w:rsidRDefault="00ED4AFD" w:rsidP="00C56804">
      <w:pPr>
        <w:ind w:left="2880"/>
        <w:jc w:val="both"/>
        <w:rPr>
          <w:rFonts w:ascii="Century Schoolbook" w:hAnsi="Century Schoolbook"/>
          <w:color w:val="231F20"/>
          <w:w w:val="105"/>
        </w:rPr>
      </w:pPr>
      <w:r>
        <w:rPr>
          <w:rFonts w:ascii="Century Schoolbook" w:hAnsi="Century Schoolbook"/>
          <w:color w:val="231F20"/>
          <w:w w:val="105"/>
        </w:rPr>
        <w:t>Robin Fret</w:t>
      </w:r>
      <w:r w:rsidR="00850116">
        <w:rPr>
          <w:rFonts w:ascii="Century Schoolbook" w:hAnsi="Century Schoolbook"/>
          <w:color w:val="231F20"/>
          <w:w w:val="105"/>
        </w:rPr>
        <w:t>well Wilson</w:t>
      </w:r>
    </w:p>
    <w:p w14:paraId="2691F966" w14:textId="12537C84" w:rsidR="00850116" w:rsidRDefault="00850116" w:rsidP="00C56804">
      <w:pPr>
        <w:ind w:left="2880"/>
        <w:jc w:val="both"/>
        <w:rPr>
          <w:rFonts w:ascii="Century Schoolbook" w:hAnsi="Century Schoolbook"/>
          <w:color w:val="231F20"/>
          <w:w w:val="105"/>
        </w:rPr>
      </w:pPr>
      <w:r>
        <w:rPr>
          <w:rFonts w:ascii="Century Schoolbook" w:hAnsi="Century Schoolbook"/>
          <w:color w:val="231F20"/>
          <w:w w:val="105"/>
        </w:rPr>
        <w:t xml:space="preserve">Mildred Van </w:t>
      </w:r>
      <w:proofErr w:type="spellStart"/>
      <w:r>
        <w:rPr>
          <w:rFonts w:ascii="Century Schoolbook" w:hAnsi="Century Schoolbook"/>
          <w:color w:val="231F20"/>
          <w:w w:val="105"/>
        </w:rPr>
        <w:t>Voorhis</w:t>
      </w:r>
      <w:proofErr w:type="spellEnd"/>
      <w:r>
        <w:rPr>
          <w:rFonts w:ascii="Century Schoolbook" w:hAnsi="Century Schoolbook"/>
          <w:color w:val="231F20"/>
          <w:w w:val="105"/>
        </w:rPr>
        <w:t xml:space="preserve"> </w:t>
      </w:r>
      <w:r w:rsidR="00992753">
        <w:rPr>
          <w:rFonts w:ascii="Century Schoolbook" w:hAnsi="Century Schoolbook"/>
          <w:color w:val="231F20"/>
          <w:w w:val="105"/>
        </w:rPr>
        <w:t xml:space="preserve">Jones </w:t>
      </w:r>
      <w:r>
        <w:rPr>
          <w:rFonts w:ascii="Century Schoolbook" w:hAnsi="Century Schoolbook"/>
          <w:color w:val="231F20"/>
          <w:w w:val="105"/>
        </w:rPr>
        <w:t>Chair in Law</w:t>
      </w:r>
    </w:p>
    <w:p w14:paraId="27DC7D17" w14:textId="4011FE1F" w:rsidR="00992753" w:rsidRDefault="00992753" w:rsidP="00C56804">
      <w:pPr>
        <w:ind w:left="2880"/>
        <w:jc w:val="both"/>
        <w:rPr>
          <w:rFonts w:ascii="Century Schoolbook" w:hAnsi="Century Schoolbook"/>
          <w:color w:val="231F20"/>
          <w:w w:val="105"/>
        </w:rPr>
      </w:pPr>
      <w:r>
        <w:rPr>
          <w:rFonts w:ascii="Century Schoolbook" w:hAnsi="Century Schoolbook"/>
          <w:color w:val="231F20"/>
          <w:w w:val="105"/>
        </w:rPr>
        <w:t>University of Illinois College of Law</w:t>
      </w:r>
    </w:p>
    <w:p w14:paraId="5C379CEC" w14:textId="77777777" w:rsidR="00C56804" w:rsidRPr="001B58CF" w:rsidRDefault="00C56804" w:rsidP="00C56804"/>
    <w:sectPr w:rsidR="00C56804" w:rsidRPr="001B58CF" w:rsidSect="003907DC">
      <w:headerReference w:type="default" r:id="rId7"/>
      <w:headerReference w:type="first" r:id="rId8"/>
      <w:footerReference w:type="first" r:id="rId9"/>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9A2D1" w14:textId="77777777" w:rsidR="00F53E38" w:rsidRDefault="00F53E38" w:rsidP="002A28F5">
      <w:r>
        <w:separator/>
      </w:r>
    </w:p>
  </w:endnote>
  <w:endnote w:type="continuationSeparator" w:id="0">
    <w:p w14:paraId="413776E6" w14:textId="77777777" w:rsidR="00F53E38" w:rsidRDefault="00F53E38" w:rsidP="002A2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DB88AB80-4595-41ED-8977-8A1E0E9F8BD1}"/>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55AFB0F-C1F6-4A36-B61B-51567BF612DF}"/>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ITCFranklinGothicStd-Book">
    <w:altName w:val="ITC Franklin Gothic Std Book"/>
    <w:charset w:val="00"/>
    <w:family w:val="auto"/>
    <w:pitch w:val="variable"/>
    <w:sig w:usb0="800000AF" w:usb1="4000204A" w:usb2="00000000" w:usb3="00000000" w:csb0="00000001" w:csb1="00000000"/>
  </w:font>
  <w:font w:name="ITC Franklin Gothic Std Bk Cd">
    <w:altName w:val="Franklin Gothic Medium Cond"/>
    <w:panose1 w:val="00000000000000000000"/>
    <w:charset w:val="00"/>
    <w:family w:val="swiss"/>
    <w:notTrueType/>
    <w:pitch w:val="variable"/>
    <w:sig w:usb0="00000003" w:usb1="5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3" w:fontKey="{22B5D511-CCE2-4E3C-894B-243257857726}"/>
  </w:font>
  <w:font w:name="Century Schoolbook">
    <w:panose1 w:val="02040604050505020304"/>
    <w:charset w:val="00"/>
    <w:family w:val="roman"/>
    <w:pitch w:val="variable"/>
    <w:sig w:usb0="00000287" w:usb1="00000000" w:usb2="00000000" w:usb3="00000000" w:csb0="0000009F" w:csb1="00000000"/>
    <w:embedRegular r:id="rId4" w:fontKey="{D261D31D-C70A-4C61-97D7-82B638397FF7}"/>
    <w:embedBold r:id="rId5" w:fontKey="{8D36383F-E70D-4605-AC35-B6431C420ED0}"/>
    <w:embedItalic r:id="rId6" w:fontKey="{FF1A7F19-EFD2-4BCA-9C26-0221BE907C01}"/>
  </w:font>
  <w:font w:name="Adobe Caslon Pro SmBd">
    <w:altName w:val="Times New Roman"/>
    <w:charset w:val="00"/>
    <w:family w:val="auto"/>
    <w:pitch w:val="variable"/>
    <w:sig w:usb0="00000007" w:usb1="00000001" w:usb2="00000000" w:usb3="00000000" w:csb0="00000093" w:csb1="00000000"/>
  </w:font>
  <w:font w:name="Poppins">
    <w:charset w:val="00"/>
    <w:family w:val="auto"/>
    <w:pitch w:val="variable"/>
    <w:sig w:usb0="00008007" w:usb1="00000000" w:usb2="00000000" w:usb3="00000000" w:csb0="00000093" w:csb1="00000000"/>
    <w:embedRegular r:id="rId7" w:fontKey="{FA82188C-D5C0-4B60-8F32-009F0649E7F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B98EE" w14:textId="4587F051" w:rsidR="00C56804" w:rsidRDefault="00C56804">
    <w:pPr>
      <w:pStyle w:val="Footer"/>
      <w:jc w:val="center"/>
    </w:pPr>
  </w:p>
  <w:p w14:paraId="33FC6D21" w14:textId="77777777" w:rsidR="002D7656" w:rsidRDefault="002D7656" w:rsidP="00F73F2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AA290" w14:textId="77777777" w:rsidR="00F53E38" w:rsidRDefault="00F53E38" w:rsidP="002A28F5">
      <w:r>
        <w:separator/>
      </w:r>
    </w:p>
  </w:footnote>
  <w:footnote w:type="continuationSeparator" w:id="0">
    <w:p w14:paraId="07B1A223" w14:textId="77777777" w:rsidR="00F53E38" w:rsidRDefault="00F53E38" w:rsidP="002A28F5">
      <w:r>
        <w:continuationSeparator/>
      </w:r>
    </w:p>
  </w:footnote>
  <w:footnote w:id="1">
    <w:p w14:paraId="10FC23FC" w14:textId="77777777" w:rsidR="00C56804" w:rsidRPr="00C005B4" w:rsidRDefault="00C56804" w:rsidP="00C56804">
      <w:pPr>
        <w:pStyle w:val="FootnoteText"/>
        <w:jc w:val="both"/>
        <w:rPr>
          <w:rFonts w:ascii="Century Schoolbook" w:hAnsi="Century Schoolbook"/>
          <w:sz w:val="22"/>
          <w:szCs w:val="22"/>
        </w:rPr>
      </w:pPr>
      <w:r w:rsidRPr="00C005B4">
        <w:rPr>
          <w:rStyle w:val="FootnoteReference"/>
          <w:rFonts w:ascii="Century Schoolbook" w:hAnsi="Century Schoolbook"/>
          <w:sz w:val="22"/>
          <w:szCs w:val="22"/>
        </w:rPr>
        <w:footnoteRef/>
      </w:r>
      <w:r w:rsidRPr="00C005B4">
        <w:rPr>
          <w:rFonts w:ascii="Century Schoolbook" w:hAnsi="Century Schoolbook"/>
          <w:sz w:val="22"/>
          <w:szCs w:val="22"/>
        </w:rPr>
        <w:t xml:space="preserve"> We of course speak in our individual capacities; our institutions take no position on this legislation.</w:t>
      </w:r>
    </w:p>
  </w:footnote>
  <w:footnote w:id="2">
    <w:p w14:paraId="33FD29E7" w14:textId="307911E8" w:rsidR="00C56804" w:rsidRPr="008B5155" w:rsidRDefault="00C56804" w:rsidP="00C56804">
      <w:pPr>
        <w:pStyle w:val="FootnoteText"/>
        <w:jc w:val="both"/>
        <w:rPr>
          <w:rFonts w:ascii="Century Schoolbook" w:hAnsi="Century Schoolbook"/>
          <w:sz w:val="22"/>
          <w:szCs w:val="22"/>
        </w:rPr>
      </w:pPr>
      <w:r w:rsidRPr="008B5155">
        <w:rPr>
          <w:rStyle w:val="FootnoteReference"/>
          <w:rFonts w:ascii="Century Schoolbook" w:hAnsi="Century Schoolbook"/>
          <w:sz w:val="22"/>
          <w:szCs w:val="22"/>
        </w:rPr>
        <w:footnoteRef/>
      </w:r>
      <w:r w:rsidRPr="008B5155">
        <w:rPr>
          <w:rFonts w:ascii="Century Schoolbook" w:hAnsi="Century Schoolbook"/>
          <w:sz w:val="22"/>
          <w:szCs w:val="22"/>
        </w:rPr>
        <w:t xml:space="preserve"> Some statements of opposition to H.R. 8</w:t>
      </w:r>
      <w:r w:rsidR="006F5066">
        <w:rPr>
          <w:rFonts w:ascii="Century Schoolbook" w:hAnsi="Century Schoolbook"/>
          <w:sz w:val="22"/>
          <w:szCs w:val="22"/>
        </w:rPr>
        <w:t>4</w:t>
      </w:r>
      <w:r w:rsidRPr="008B5155">
        <w:rPr>
          <w:rFonts w:ascii="Century Schoolbook" w:hAnsi="Century Schoolbook"/>
          <w:sz w:val="22"/>
          <w:szCs w:val="22"/>
        </w:rPr>
        <w:t>04 claim that its religious-liberty provision protects only churches and congregations. That is simply false.</w:t>
      </w:r>
    </w:p>
  </w:footnote>
  <w:footnote w:id="3">
    <w:p w14:paraId="47EB3B74" w14:textId="450F1942" w:rsidR="009E2861" w:rsidRPr="009E2861" w:rsidRDefault="009E2861" w:rsidP="009E2861">
      <w:pPr>
        <w:pStyle w:val="FootnoteText"/>
        <w:jc w:val="both"/>
        <w:rPr>
          <w:rFonts w:ascii="Century Schoolbook" w:hAnsi="Century Schoolbook"/>
          <w:w w:val="105"/>
          <w:sz w:val="22"/>
          <w:szCs w:val="22"/>
        </w:rPr>
      </w:pPr>
      <w:r w:rsidRPr="009E2861">
        <w:rPr>
          <w:rStyle w:val="FootnoteReference"/>
          <w:rFonts w:ascii="Century Schoolbook" w:hAnsi="Century Schoolbook"/>
          <w:w w:val="105"/>
          <w:sz w:val="22"/>
          <w:szCs w:val="22"/>
        </w:rPr>
        <w:footnoteRef/>
      </w:r>
      <w:r w:rsidRPr="009E2861">
        <w:rPr>
          <w:rFonts w:ascii="Century Schoolbook" w:hAnsi="Century Schoolbook"/>
          <w:w w:val="105"/>
          <w:sz w:val="22"/>
          <w:szCs w:val="22"/>
        </w:rPr>
        <w:t xml:space="preserve"> </w:t>
      </w:r>
      <w:r w:rsidRPr="009E2861">
        <w:rPr>
          <w:rFonts w:ascii="Century Schoolbook" w:hAnsi="Century Schoolbook" w:cs="Arial"/>
          <w:color w:val="000000"/>
          <w:w w:val="105"/>
          <w:sz w:val="22"/>
          <w:szCs w:val="22"/>
          <w:shd w:val="clear" w:color="auto" w:fill="FFFFFF"/>
        </w:rPr>
        <w:t>We have defended such bipartisan protections previously in academic writing and engagement.</w:t>
      </w:r>
    </w:p>
  </w:footnote>
  <w:footnote w:id="4">
    <w:p w14:paraId="123D54F8" w14:textId="77777777" w:rsidR="00C56804" w:rsidRPr="007B6477" w:rsidRDefault="00C56804" w:rsidP="00C56804">
      <w:pPr>
        <w:pStyle w:val="FootnoteText"/>
        <w:jc w:val="both"/>
        <w:rPr>
          <w:rFonts w:ascii="Century Schoolbook" w:hAnsi="Century Schoolbook"/>
          <w:sz w:val="22"/>
          <w:szCs w:val="22"/>
        </w:rPr>
      </w:pPr>
      <w:r w:rsidRPr="007B6477">
        <w:rPr>
          <w:rStyle w:val="FootnoteReference"/>
          <w:rFonts w:ascii="Century Schoolbook" w:hAnsi="Century Schoolbook"/>
          <w:sz w:val="22"/>
          <w:szCs w:val="22"/>
        </w:rPr>
        <w:footnoteRef/>
      </w:r>
      <w:r w:rsidRPr="007B6477">
        <w:rPr>
          <w:rFonts w:ascii="Century Schoolbook" w:hAnsi="Century Schoolbook"/>
          <w:sz w:val="22"/>
          <w:szCs w:val="22"/>
        </w:rPr>
        <w:t xml:space="preserve"> </w:t>
      </w:r>
      <w:r w:rsidRPr="007B6477">
        <w:rPr>
          <w:rFonts w:ascii="Century Schoolbook" w:hAnsi="Century Schoolbook"/>
          <w:color w:val="000000"/>
          <w:sz w:val="22"/>
          <w:szCs w:val="22"/>
        </w:rPr>
        <w:t xml:space="preserve">See also </w:t>
      </w:r>
      <w:r w:rsidRPr="007B6477">
        <w:rPr>
          <w:rFonts w:ascii="Century Schoolbook" w:hAnsi="Century Schoolbook"/>
          <w:i/>
          <w:iCs/>
          <w:color w:val="000000"/>
          <w:sz w:val="22"/>
          <w:szCs w:val="22"/>
        </w:rPr>
        <w:t>Rendell-Baker</w:t>
      </w:r>
      <w:r w:rsidRPr="007B6477">
        <w:rPr>
          <w:rFonts w:ascii="Century Schoolbook" w:hAnsi="Century Schoolbook"/>
          <w:color w:val="000000"/>
          <w:sz w:val="22"/>
          <w:szCs w:val="22"/>
        </w:rPr>
        <w:t xml:space="preserve">, 457 U.S. </w:t>
      </w:r>
      <w:r>
        <w:rPr>
          <w:rFonts w:ascii="Century Schoolbook" w:hAnsi="Century Schoolbook"/>
          <w:color w:val="000000"/>
          <w:sz w:val="22"/>
          <w:szCs w:val="22"/>
        </w:rPr>
        <w:t xml:space="preserve">830 </w:t>
      </w:r>
      <w:r w:rsidRPr="007B6477">
        <w:rPr>
          <w:rFonts w:ascii="Century Schoolbook" w:hAnsi="Century Schoolbook"/>
          <w:color w:val="000000"/>
          <w:sz w:val="22"/>
          <w:szCs w:val="22"/>
        </w:rPr>
        <w:t xml:space="preserve">(rejecting state-action claim even though private school in question was heavily state-regulated and received nearly all its income from tuition payments made by nearby </w:t>
      </w:r>
      <w:proofErr w:type="gramStart"/>
      <w:r w:rsidRPr="007B6477">
        <w:rPr>
          <w:rFonts w:ascii="Century Schoolbook" w:hAnsi="Century Schoolbook"/>
          <w:color w:val="000000"/>
          <w:sz w:val="22"/>
          <w:szCs w:val="22"/>
        </w:rPr>
        <w:t>public school</w:t>
      </w:r>
      <w:proofErr w:type="gramEnd"/>
      <w:r w:rsidRPr="007B6477">
        <w:rPr>
          <w:rFonts w:ascii="Century Schoolbook" w:hAnsi="Century Schoolbook"/>
          <w:color w:val="000000"/>
          <w:sz w:val="22"/>
          <w:szCs w:val="22"/>
        </w:rPr>
        <w:t xml:space="preserve"> districts).</w:t>
      </w:r>
    </w:p>
  </w:footnote>
  <w:footnote w:id="5">
    <w:p w14:paraId="55F15D99" w14:textId="77777777" w:rsidR="00C56804" w:rsidRPr="00431708" w:rsidRDefault="00C56804" w:rsidP="00C56804">
      <w:pPr>
        <w:pStyle w:val="FootnoteText"/>
        <w:jc w:val="both"/>
        <w:rPr>
          <w:rFonts w:ascii="Century Schoolbook" w:hAnsi="Century Schoolbook"/>
          <w:sz w:val="22"/>
          <w:szCs w:val="22"/>
        </w:rPr>
      </w:pPr>
      <w:r w:rsidRPr="00A8606B">
        <w:rPr>
          <w:rStyle w:val="FootnoteReference"/>
          <w:rFonts w:ascii="Century Schoolbook" w:hAnsi="Century Schoolbook"/>
          <w:sz w:val="22"/>
          <w:szCs w:val="22"/>
        </w:rPr>
        <w:footnoteRef/>
      </w:r>
      <w:r w:rsidRPr="00A8606B">
        <w:rPr>
          <w:rFonts w:ascii="Century Schoolbook" w:hAnsi="Century Schoolbook"/>
          <w:sz w:val="22"/>
          <w:szCs w:val="22"/>
        </w:rPr>
        <w:t xml:space="preserve"> RMA does </w:t>
      </w:r>
      <w:r>
        <w:rPr>
          <w:rFonts w:ascii="Century Schoolbook" w:hAnsi="Century Schoolbook"/>
          <w:sz w:val="22"/>
          <w:szCs w:val="22"/>
        </w:rPr>
        <w:t xml:space="preserve">not enact </w:t>
      </w:r>
      <w:r>
        <w:rPr>
          <w:rFonts w:ascii="Century Schoolbook" w:hAnsi="Century Schoolbook"/>
          <w:i/>
          <w:iCs/>
          <w:sz w:val="22"/>
          <w:szCs w:val="22"/>
        </w:rPr>
        <w:t>Obergefell</w:t>
      </w:r>
      <w:r>
        <w:rPr>
          <w:rFonts w:ascii="Century Schoolbook" w:hAnsi="Century Schoolbook"/>
          <w:sz w:val="22"/>
          <w:szCs w:val="22"/>
        </w:rPr>
        <w:t xml:space="preserve"> by statute, requiring states to recognize same-sex marriages in general. It requires them to give “full faith and credit to any public act, record, or judicial proceeding of any other State pertaining to a marriage”—that is, to a marriage “valid in the State where it was entered into”—without regard to the sex of the two persons. Sections 4(a)(1),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B74D" w14:textId="359ACC46" w:rsidR="00642F09" w:rsidRDefault="00642F09" w:rsidP="0098051D">
    <w:pPr>
      <w:pStyle w:val="Header"/>
      <w:tabs>
        <w:tab w:val="clear" w:pos="4320"/>
        <w:tab w:val="clear" w:pos="8640"/>
        <w:tab w:val="left" w:pos="973"/>
        <w:tab w:val="left" w:pos="129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FB5F" w14:textId="469F1529" w:rsidR="00642F09" w:rsidRDefault="00DD312E" w:rsidP="0057399A">
    <w:pPr>
      <w:pStyle w:val="Header"/>
      <w:tabs>
        <w:tab w:val="left" w:pos="360"/>
      </w:tabs>
      <w:ind w:left="180" w:hanging="180"/>
    </w:pPr>
    <w:r>
      <w:t xml:space="preserve">    </w:t>
    </w:r>
    <w:r w:rsidR="002D7656">
      <w:rPr>
        <w:noProof/>
      </w:rPr>
      <w:drawing>
        <wp:inline distT="0" distB="0" distL="0" distR="0" wp14:anchorId="03FF29A8" wp14:editId="5DAAF018">
          <wp:extent cx="1413283" cy="711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w_v_4c_c.pdf"/>
                  <pic:cNvPicPr/>
                </pic:nvPicPr>
                <pic:blipFill>
                  <a:blip r:embed="rId1">
                    <a:extLst>
                      <a:ext uri="{28A0092B-C50C-407E-A947-70E740481C1C}">
                        <a14:useLocalDpi xmlns:a14="http://schemas.microsoft.com/office/drawing/2010/main" val="0"/>
                      </a:ext>
                    </a:extLst>
                  </a:blip>
                  <a:stretch>
                    <a:fillRect/>
                  </a:stretch>
                </pic:blipFill>
                <pic:spPr>
                  <a:xfrm>
                    <a:off x="0" y="0"/>
                    <a:ext cx="1413283" cy="711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1"/>
  <w:activeWritingStyle w:appName="MSWord" w:lang="en-US" w:vendorID="64" w:dllVersion="4096" w:nlCheck="1" w:checkStyle="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8F5"/>
    <w:rsid w:val="00010310"/>
    <w:rsid w:val="00015610"/>
    <w:rsid w:val="00023CDB"/>
    <w:rsid w:val="000418E1"/>
    <w:rsid w:val="000557C2"/>
    <w:rsid w:val="00081985"/>
    <w:rsid w:val="00084C1E"/>
    <w:rsid w:val="0008624F"/>
    <w:rsid w:val="00086A0F"/>
    <w:rsid w:val="000B0FA3"/>
    <w:rsid w:val="000B366A"/>
    <w:rsid w:val="000B77C3"/>
    <w:rsid w:val="000D74C6"/>
    <w:rsid w:val="000F0C41"/>
    <w:rsid w:val="000F3DA5"/>
    <w:rsid w:val="000F7B61"/>
    <w:rsid w:val="0011058B"/>
    <w:rsid w:val="00111B51"/>
    <w:rsid w:val="00124469"/>
    <w:rsid w:val="00124736"/>
    <w:rsid w:val="00142CD5"/>
    <w:rsid w:val="00156A5B"/>
    <w:rsid w:val="00184D90"/>
    <w:rsid w:val="0018605A"/>
    <w:rsid w:val="00194248"/>
    <w:rsid w:val="001A0CB2"/>
    <w:rsid w:val="001B58CF"/>
    <w:rsid w:val="001B5EED"/>
    <w:rsid w:val="0022425E"/>
    <w:rsid w:val="00254838"/>
    <w:rsid w:val="002A28F5"/>
    <w:rsid w:val="002B3120"/>
    <w:rsid w:val="002C63F3"/>
    <w:rsid w:val="002D04C9"/>
    <w:rsid w:val="002D7656"/>
    <w:rsid w:val="002F0A96"/>
    <w:rsid w:val="00313B37"/>
    <w:rsid w:val="003424B7"/>
    <w:rsid w:val="003433D5"/>
    <w:rsid w:val="003536D1"/>
    <w:rsid w:val="00372E2E"/>
    <w:rsid w:val="003817D2"/>
    <w:rsid w:val="003907DC"/>
    <w:rsid w:val="0039411E"/>
    <w:rsid w:val="003A5DC9"/>
    <w:rsid w:val="003A78DA"/>
    <w:rsid w:val="003E1FB8"/>
    <w:rsid w:val="003E2785"/>
    <w:rsid w:val="003F195D"/>
    <w:rsid w:val="004019BB"/>
    <w:rsid w:val="004045E2"/>
    <w:rsid w:val="00415B66"/>
    <w:rsid w:val="004667D5"/>
    <w:rsid w:val="00482099"/>
    <w:rsid w:val="004A3ECC"/>
    <w:rsid w:val="004A7ACA"/>
    <w:rsid w:val="004B367A"/>
    <w:rsid w:val="004C5B37"/>
    <w:rsid w:val="004F594A"/>
    <w:rsid w:val="005112C7"/>
    <w:rsid w:val="00553099"/>
    <w:rsid w:val="00564BAF"/>
    <w:rsid w:val="0057399A"/>
    <w:rsid w:val="005A2A69"/>
    <w:rsid w:val="005B4865"/>
    <w:rsid w:val="00636539"/>
    <w:rsid w:val="00642F09"/>
    <w:rsid w:val="006534D7"/>
    <w:rsid w:val="0065352F"/>
    <w:rsid w:val="00665F1A"/>
    <w:rsid w:val="00674054"/>
    <w:rsid w:val="00694734"/>
    <w:rsid w:val="006A0F56"/>
    <w:rsid w:val="006C3795"/>
    <w:rsid w:val="006C521D"/>
    <w:rsid w:val="006D20F7"/>
    <w:rsid w:val="006F27A3"/>
    <w:rsid w:val="006F5066"/>
    <w:rsid w:val="00706FA2"/>
    <w:rsid w:val="00715D95"/>
    <w:rsid w:val="00726C35"/>
    <w:rsid w:val="00760980"/>
    <w:rsid w:val="00780BE3"/>
    <w:rsid w:val="007877FC"/>
    <w:rsid w:val="00791832"/>
    <w:rsid w:val="007B0121"/>
    <w:rsid w:val="007C17CC"/>
    <w:rsid w:val="00832F8A"/>
    <w:rsid w:val="00850116"/>
    <w:rsid w:val="008A71CE"/>
    <w:rsid w:val="008B5502"/>
    <w:rsid w:val="008B5F92"/>
    <w:rsid w:val="008C5BB6"/>
    <w:rsid w:val="008E56EF"/>
    <w:rsid w:val="00911479"/>
    <w:rsid w:val="009229F0"/>
    <w:rsid w:val="00922AF9"/>
    <w:rsid w:val="00947161"/>
    <w:rsid w:val="00972206"/>
    <w:rsid w:val="0098051D"/>
    <w:rsid w:val="00992753"/>
    <w:rsid w:val="00992F18"/>
    <w:rsid w:val="009B30BD"/>
    <w:rsid w:val="009C4873"/>
    <w:rsid w:val="009D649E"/>
    <w:rsid w:val="009E2861"/>
    <w:rsid w:val="009F1273"/>
    <w:rsid w:val="00A13A74"/>
    <w:rsid w:val="00A302DA"/>
    <w:rsid w:val="00A643B5"/>
    <w:rsid w:val="00A8727E"/>
    <w:rsid w:val="00AA521F"/>
    <w:rsid w:val="00AA7032"/>
    <w:rsid w:val="00AC2AA5"/>
    <w:rsid w:val="00AE4AA7"/>
    <w:rsid w:val="00AE6C2D"/>
    <w:rsid w:val="00AF593A"/>
    <w:rsid w:val="00B3239E"/>
    <w:rsid w:val="00B366E1"/>
    <w:rsid w:val="00B72A60"/>
    <w:rsid w:val="00B86C34"/>
    <w:rsid w:val="00BB5D84"/>
    <w:rsid w:val="00BD5030"/>
    <w:rsid w:val="00C070B4"/>
    <w:rsid w:val="00C112AC"/>
    <w:rsid w:val="00C25710"/>
    <w:rsid w:val="00C31057"/>
    <w:rsid w:val="00C432EA"/>
    <w:rsid w:val="00C56804"/>
    <w:rsid w:val="00C769E2"/>
    <w:rsid w:val="00C80DC8"/>
    <w:rsid w:val="00C87CEC"/>
    <w:rsid w:val="00CA2568"/>
    <w:rsid w:val="00CD268D"/>
    <w:rsid w:val="00CE634D"/>
    <w:rsid w:val="00D02888"/>
    <w:rsid w:val="00D1053A"/>
    <w:rsid w:val="00D3423C"/>
    <w:rsid w:val="00D437C7"/>
    <w:rsid w:val="00D64C4C"/>
    <w:rsid w:val="00D80397"/>
    <w:rsid w:val="00D81B3B"/>
    <w:rsid w:val="00D907F2"/>
    <w:rsid w:val="00D96324"/>
    <w:rsid w:val="00D96EE4"/>
    <w:rsid w:val="00DA40BD"/>
    <w:rsid w:val="00DA5651"/>
    <w:rsid w:val="00DC7B87"/>
    <w:rsid w:val="00DD312E"/>
    <w:rsid w:val="00E000E6"/>
    <w:rsid w:val="00E04BB0"/>
    <w:rsid w:val="00E04C71"/>
    <w:rsid w:val="00E07C22"/>
    <w:rsid w:val="00E156DF"/>
    <w:rsid w:val="00E564B8"/>
    <w:rsid w:val="00E91EB4"/>
    <w:rsid w:val="00ED4AFD"/>
    <w:rsid w:val="00F172FE"/>
    <w:rsid w:val="00F53E38"/>
    <w:rsid w:val="00F576D6"/>
    <w:rsid w:val="00F61158"/>
    <w:rsid w:val="00F701AF"/>
    <w:rsid w:val="00F73F2F"/>
    <w:rsid w:val="00FF5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77CB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B3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8F5"/>
    <w:pPr>
      <w:tabs>
        <w:tab w:val="center" w:pos="4320"/>
        <w:tab w:val="right" w:pos="8640"/>
      </w:tabs>
    </w:pPr>
  </w:style>
  <w:style w:type="character" w:customStyle="1" w:styleId="HeaderChar">
    <w:name w:val="Header Char"/>
    <w:basedOn w:val="DefaultParagraphFont"/>
    <w:link w:val="Header"/>
    <w:uiPriority w:val="99"/>
    <w:rsid w:val="002A28F5"/>
  </w:style>
  <w:style w:type="paragraph" w:styleId="Footer">
    <w:name w:val="footer"/>
    <w:basedOn w:val="Normal"/>
    <w:link w:val="FooterChar"/>
    <w:uiPriority w:val="99"/>
    <w:unhideWhenUsed/>
    <w:rsid w:val="002A28F5"/>
    <w:pPr>
      <w:tabs>
        <w:tab w:val="center" w:pos="4320"/>
        <w:tab w:val="right" w:pos="8640"/>
      </w:tabs>
    </w:pPr>
  </w:style>
  <w:style w:type="character" w:customStyle="1" w:styleId="FooterChar">
    <w:name w:val="Footer Char"/>
    <w:basedOn w:val="DefaultParagraphFont"/>
    <w:link w:val="Footer"/>
    <w:uiPriority w:val="99"/>
    <w:rsid w:val="002A28F5"/>
  </w:style>
  <w:style w:type="paragraph" w:styleId="BalloonText">
    <w:name w:val="Balloon Text"/>
    <w:basedOn w:val="Normal"/>
    <w:link w:val="BalloonTextChar"/>
    <w:uiPriority w:val="99"/>
    <w:semiHidden/>
    <w:unhideWhenUsed/>
    <w:rsid w:val="002A2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8F5"/>
    <w:rPr>
      <w:rFonts w:ascii="Lucida Grande" w:hAnsi="Lucida Grande" w:cs="Lucida Grande"/>
      <w:sz w:val="18"/>
      <w:szCs w:val="18"/>
    </w:rPr>
  </w:style>
  <w:style w:type="paragraph" w:styleId="TOC1">
    <w:name w:val="toc 1"/>
    <w:basedOn w:val="Normal"/>
    <w:next w:val="Normal"/>
    <w:autoRedefine/>
    <w:uiPriority w:val="39"/>
    <w:unhideWhenUsed/>
    <w:rsid w:val="0039411E"/>
  </w:style>
  <w:style w:type="paragraph" w:styleId="TOC2">
    <w:name w:val="toc 2"/>
    <w:basedOn w:val="Normal"/>
    <w:next w:val="Normal"/>
    <w:autoRedefine/>
    <w:uiPriority w:val="39"/>
    <w:unhideWhenUsed/>
    <w:rsid w:val="0039411E"/>
    <w:pPr>
      <w:ind w:left="240"/>
    </w:pPr>
  </w:style>
  <w:style w:type="paragraph" w:styleId="TOC3">
    <w:name w:val="toc 3"/>
    <w:basedOn w:val="Normal"/>
    <w:next w:val="Normal"/>
    <w:autoRedefine/>
    <w:uiPriority w:val="39"/>
    <w:unhideWhenUsed/>
    <w:rsid w:val="0039411E"/>
    <w:pPr>
      <w:ind w:left="480"/>
    </w:pPr>
  </w:style>
  <w:style w:type="paragraph" w:styleId="TOC4">
    <w:name w:val="toc 4"/>
    <w:basedOn w:val="Normal"/>
    <w:next w:val="Normal"/>
    <w:autoRedefine/>
    <w:uiPriority w:val="39"/>
    <w:unhideWhenUsed/>
    <w:rsid w:val="0039411E"/>
    <w:pPr>
      <w:ind w:left="720"/>
    </w:pPr>
  </w:style>
  <w:style w:type="paragraph" w:styleId="TOC5">
    <w:name w:val="toc 5"/>
    <w:basedOn w:val="Normal"/>
    <w:next w:val="Normal"/>
    <w:autoRedefine/>
    <w:uiPriority w:val="39"/>
    <w:unhideWhenUsed/>
    <w:rsid w:val="0039411E"/>
    <w:pPr>
      <w:ind w:left="960"/>
    </w:pPr>
  </w:style>
  <w:style w:type="paragraph" w:styleId="TOC6">
    <w:name w:val="toc 6"/>
    <w:basedOn w:val="Normal"/>
    <w:next w:val="Normal"/>
    <w:autoRedefine/>
    <w:uiPriority w:val="39"/>
    <w:unhideWhenUsed/>
    <w:rsid w:val="0039411E"/>
    <w:pPr>
      <w:ind w:left="1200"/>
    </w:pPr>
  </w:style>
  <w:style w:type="paragraph" w:styleId="TOC7">
    <w:name w:val="toc 7"/>
    <w:basedOn w:val="Normal"/>
    <w:next w:val="Normal"/>
    <w:autoRedefine/>
    <w:uiPriority w:val="39"/>
    <w:unhideWhenUsed/>
    <w:rsid w:val="0039411E"/>
    <w:pPr>
      <w:ind w:left="1440"/>
    </w:pPr>
  </w:style>
  <w:style w:type="paragraph" w:styleId="TOC8">
    <w:name w:val="toc 8"/>
    <w:basedOn w:val="Normal"/>
    <w:next w:val="Normal"/>
    <w:autoRedefine/>
    <w:uiPriority w:val="39"/>
    <w:unhideWhenUsed/>
    <w:rsid w:val="0039411E"/>
    <w:pPr>
      <w:ind w:left="1680"/>
    </w:pPr>
  </w:style>
  <w:style w:type="paragraph" w:styleId="TOC9">
    <w:name w:val="toc 9"/>
    <w:basedOn w:val="Normal"/>
    <w:next w:val="Normal"/>
    <w:autoRedefine/>
    <w:uiPriority w:val="39"/>
    <w:unhideWhenUsed/>
    <w:rsid w:val="0039411E"/>
    <w:pPr>
      <w:ind w:left="1920"/>
    </w:pPr>
  </w:style>
  <w:style w:type="paragraph" w:styleId="BodyText">
    <w:name w:val="Body Text"/>
    <w:basedOn w:val="Normal"/>
    <w:link w:val="BodyTextChar"/>
    <w:rsid w:val="003F195D"/>
    <w:pPr>
      <w:spacing w:before="200" w:line="300" w:lineRule="auto"/>
    </w:pPr>
    <w:rPr>
      <w:sz w:val="22"/>
      <w:szCs w:val="22"/>
    </w:rPr>
  </w:style>
  <w:style w:type="character" w:customStyle="1" w:styleId="BodyTextChar">
    <w:name w:val="Body Text Char"/>
    <w:basedOn w:val="DefaultParagraphFont"/>
    <w:link w:val="BodyText"/>
    <w:rsid w:val="003F195D"/>
    <w:rPr>
      <w:sz w:val="22"/>
      <w:szCs w:val="22"/>
    </w:rPr>
  </w:style>
  <w:style w:type="paragraph" w:customStyle="1" w:styleId="Address">
    <w:name w:val="Address"/>
    <w:basedOn w:val="Normal"/>
    <w:rsid w:val="003F195D"/>
    <w:pPr>
      <w:spacing w:line="300" w:lineRule="auto"/>
    </w:pPr>
    <w:rPr>
      <w:sz w:val="18"/>
      <w:szCs w:val="22"/>
    </w:rPr>
  </w:style>
  <w:style w:type="paragraph" w:customStyle="1" w:styleId="DateandRecipient">
    <w:name w:val="Date and Recipient"/>
    <w:basedOn w:val="Normal"/>
    <w:rsid w:val="003F195D"/>
    <w:pPr>
      <w:spacing w:before="400" w:line="300" w:lineRule="auto"/>
    </w:pPr>
    <w:rPr>
      <w:color w:val="404040" w:themeColor="text1" w:themeTint="BF"/>
      <w:sz w:val="22"/>
      <w:szCs w:val="22"/>
    </w:rPr>
  </w:style>
  <w:style w:type="paragraph" w:styleId="Signature">
    <w:name w:val="Signature"/>
    <w:basedOn w:val="Normal"/>
    <w:link w:val="SignatureChar"/>
    <w:rsid w:val="003F195D"/>
    <w:pPr>
      <w:spacing w:before="600" w:line="300" w:lineRule="auto"/>
    </w:pPr>
    <w:rPr>
      <w:color w:val="404040" w:themeColor="text1" w:themeTint="BF"/>
      <w:sz w:val="22"/>
      <w:szCs w:val="22"/>
    </w:rPr>
  </w:style>
  <w:style w:type="character" w:customStyle="1" w:styleId="SignatureChar">
    <w:name w:val="Signature Char"/>
    <w:basedOn w:val="DefaultParagraphFont"/>
    <w:link w:val="Signature"/>
    <w:rsid w:val="003F195D"/>
    <w:rPr>
      <w:color w:val="404040" w:themeColor="text1" w:themeTint="BF"/>
      <w:sz w:val="22"/>
      <w:szCs w:val="22"/>
    </w:rPr>
  </w:style>
  <w:style w:type="paragraph" w:styleId="EndnoteText">
    <w:name w:val="endnote text"/>
    <w:basedOn w:val="Normal"/>
    <w:link w:val="EndnoteTextChar"/>
    <w:uiPriority w:val="99"/>
    <w:unhideWhenUsed/>
    <w:rsid w:val="003F195D"/>
  </w:style>
  <w:style w:type="character" w:customStyle="1" w:styleId="EndnoteTextChar">
    <w:name w:val="Endnote Text Char"/>
    <w:basedOn w:val="DefaultParagraphFont"/>
    <w:link w:val="EndnoteText"/>
    <w:uiPriority w:val="99"/>
    <w:rsid w:val="003F195D"/>
  </w:style>
  <w:style w:type="character" w:styleId="EndnoteReference">
    <w:name w:val="endnote reference"/>
    <w:basedOn w:val="DefaultParagraphFont"/>
    <w:uiPriority w:val="99"/>
    <w:unhideWhenUsed/>
    <w:rsid w:val="003F195D"/>
    <w:rPr>
      <w:vertAlign w:val="superscript"/>
    </w:rPr>
  </w:style>
  <w:style w:type="paragraph" w:customStyle="1" w:styleId="annotations">
    <w:name w:val="annotations"/>
    <w:basedOn w:val="Normal"/>
    <w:uiPriority w:val="99"/>
    <w:rsid w:val="00F73F2F"/>
    <w:pPr>
      <w:widowControl w:val="0"/>
      <w:autoSpaceDE w:val="0"/>
      <w:autoSpaceDN w:val="0"/>
      <w:adjustRightInd w:val="0"/>
      <w:spacing w:line="180" w:lineRule="atLeast"/>
      <w:textAlignment w:val="center"/>
    </w:pPr>
    <w:rPr>
      <w:rFonts w:ascii="ITCFranklinGothicStd-Book" w:eastAsiaTheme="minorHAnsi" w:hAnsi="ITCFranklinGothicStd-Book" w:cs="ITCFranklinGothicStd-Book"/>
      <w:color w:val="000000"/>
      <w:sz w:val="18"/>
      <w:szCs w:val="18"/>
    </w:rPr>
  </w:style>
  <w:style w:type="paragraph" w:customStyle="1" w:styleId="address0">
    <w:name w:val="address"/>
    <w:basedOn w:val="Normal"/>
    <w:uiPriority w:val="99"/>
    <w:rsid w:val="00F73F2F"/>
    <w:pPr>
      <w:autoSpaceDE w:val="0"/>
      <w:autoSpaceDN w:val="0"/>
      <w:adjustRightInd w:val="0"/>
      <w:spacing w:after="72" w:line="240" w:lineRule="atLeast"/>
      <w:jc w:val="right"/>
      <w:textAlignment w:val="center"/>
    </w:pPr>
    <w:rPr>
      <w:rFonts w:ascii="ITC Franklin Gothic Std Bk Cd" w:eastAsiaTheme="minorHAnsi" w:hAnsi="ITC Franklin Gothic Std Bk Cd" w:cs="ITC Franklin Gothic Std Bk Cd"/>
      <w:color w:val="0B265B"/>
      <w:sz w:val="18"/>
      <w:szCs w:val="18"/>
    </w:rPr>
  </w:style>
  <w:style w:type="paragraph" w:styleId="FootnoteText">
    <w:name w:val="footnote text"/>
    <w:basedOn w:val="Normal"/>
    <w:link w:val="FootnoteTextChar"/>
    <w:uiPriority w:val="99"/>
    <w:rsid w:val="003907DC"/>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3907DC"/>
    <w:rPr>
      <w:rFonts w:ascii="Times New Roman" w:eastAsia="Times New Roman" w:hAnsi="Times New Roman" w:cs="Times New Roman"/>
      <w:sz w:val="20"/>
      <w:szCs w:val="20"/>
    </w:rPr>
  </w:style>
  <w:style w:type="character" w:styleId="FootnoteReference">
    <w:name w:val="footnote reference"/>
    <w:uiPriority w:val="99"/>
    <w:rsid w:val="003907DC"/>
    <w:rPr>
      <w:vertAlign w:val="superscript"/>
    </w:rPr>
  </w:style>
  <w:style w:type="character" w:styleId="Hyperlink">
    <w:name w:val="Hyperlink"/>
    <w:basedOn w:val="DefaultParagraphFont"/>
    <w:uiPriority w:val="99"/>
    <w:unhideWhenUsed/>
    <w:rsid w:val="00C87CEC"/>
    <w:rPr>
      <w:color w:val="0000FF" w:themeColor="hyperlink"/>
      <w:u w:val="single"/>
    </w:rPr>
  </w:style>
  <w:style w:type="character" w:styleId="FollowedHyperlink">
    <w:name w:val="FollowedHyperlink"/>
    <w:basedOn w:val="DefaultParagraphFont"/>
    <w:uiPriority w:val="99"/>
    <w:semiHidden/>
    <w:unhideWhenUsed/>
    <w:rsid w:val="00C87CEC"/>
    <w:rPr>
      <w:color w:val="800080" w:themeColor="followedHyperlink"/>
      <w:u w:val="single"/>
    </w:rPr>
  </w:style>
  <w:style w:type="character" w:customStyle="1" w:styleId="Heading1Char">
    <w:name w:val="Heading 1 Char"/>
    <w:basedOn w:val="DefaultParagraphFont"/>
    <w:link w:val="Heading1"/>
    <w:uiPriority w:val="9"/>
    <w:rsid w:val="00313B3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DBA1E-8FC9-4875-82B1-BF4BF53F3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1579</Words>
  <Characters>9005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Virginia - Staff</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Chaiti Dhiren (cdp3s) Patel</dc:creator>
  <cp:lastModifiedBy>Esbeck, Carl H.</cp:lastModifiedBy>
  <cp:revision>2</cp:revision>
  <cp:lastPrinted>2020-12-27T20:45:00Z</cp:lastPrinted>
  <dcterms:created xsi:type="dcterms:W3CDTF">2022-11-16T21:20:00Z</dcterms:created>
  <dcterms:modified xsi:type="dcterms:W3CDTF">2022-11-16T21:20:00Z</dcterms:modified>
</cp:coreProperties>
</file>